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D718F" w14:textId="0919A443" w:rsidR="008638FC" w:rsidRPr="00E51B0D" w:rsidRDefault="009A287C" w:rsidP="00BB3B3C">
      <w:pPr>
        <w:spacing w:after="0" w:line="240" w:lineRule="auto"/>
        <w:jc w:val="center"/>
        <w:rPr>
          <w:rFonts w:ascii="Times New Roman" w:hAnsi="Times New Roman" w:cs="Times New Roman"/>
          <w:b/>
          <w:bCs/>
          <w:sz w:val="24"/>
          <w:szCs w:val="24"/>
        </w:rPr>
      </w:pPr>
      <w:r w:rsidRPr="00E51B0D">
        <w:rPr>
          <w:rFonts w:ascii="Times New Roman" w:hAnsi="Times New Roman" w:cs="Times New Roman"/>
          <w:b/>
          <w:bCs/>
          <w:sz w:val="24"/>
          <w:szCs w:val="24"/>
        </w:rPr>
        <w:t>COVID-19, Racism and Public Health</w:t>
      </w:r>
    </w:p>
    <w:p w14:paraId="2017434C" w14:textId="6D141180" w:rsidR="009A287C" w:rsidRPr="00E51B0D" w:rsidRDefault="009A287C" w:rsidP="00BB3B3C">
      <w:pPr>
        <w:spacing w:after="0" w:line="240" w:lineRule="auto"/>
        <w:jc w:val="center"/>
        <w:rPr>
          <w:rFonts w:ascii="Times New Roman" w:hAnsi="Times New Roman" w:cs="Times New Roman"/>
          <w:b/>
          <w:bCs/>
          <w:sz w:val="24"/>
          <w:szCs w:val="24"/>
        </w:rPr>
      </w:pPr>
      <w:r w:rsidRPr="00E51B0D">
        <w:rPr>
          <w:rFonts w:ascii="Times New Roman" w:hAnsi="Times New Roman" w:cs="Times New Roman"/>
          <w:b/>
          <w:bCs/>
          <w:sz w:val="24"/>
          <w:szCs w:val="24"/>
        </w:rPr>
        <w:t>Spring 2021</w:t>
      </w:r>
    </w:p>
    <w:p w14:paraId="5738E7E0" w14:textId="38DB0D5F" w:rsidR="00E51B0D" w:rsidRDefault="009A287C" w:rsidP="00BB3B3C">
      <w:pPr>
        <w:spacing w:after="0" w:line="240" w:lineRule="auto"/>
        <w:jc w:val="center"/>
        <w:rPr>
          <w:rFonts w:ascii="Times New Roman" w:hAnsi="Times New Roman" w:cs="Times New Roman"/>
          <w:b/>
          <w:bCs/>
          <w:sz w:val="24"/>
          <w:szCs w:val="24"/>
        </w:rPr>
      </w:pPr>
      <w:r w:rsidRPr="00E51B0D">
        <w:rPr>
          <w:rFonts w:ascii="Times New Roman" w:hAnsi="Times New Roman" w:cs="Times New Roman"/>
          <w:b/>
          <w:bCs/>
          <w:sz w:val="24"/>
          <w:szCs w:val="24"/>
        </w:rPr>
        <w:t>Wed-based Course</w:t>
      </w:r>
    </w:p>
    <w:p w14:paraId="469CD412" w14:textId="77777777" w:rsidR="00832967" w:rsidRPr="00E51B0D" w:rsidRDefault="00832967" w:rsidP="00BB3B3C">
      <w:pPr>
        <w:spacing w:after="0" w:line="240" w:lineRule="auto"/>
        <w:jc w:val="center"/>
        <w:rPr>
          <w:rFonts w:ascii="Times New Roman" w:hAnsi="Times New Roman" w:cs="Times New Roman"/>
          <w:b/>
          <w:bCs/>
          <w:sz w:val="24"/>
          <w:szCs w:val="24"/>
        </w:rPr>
      </w:pPr>
    </w:p>
    <w:p w14:paraId="7F0491F4" w14:textId="77777777" w:rsidR="00515D85" w:rsidRDefault="00515D85" w:rsidP="00BB3B3C">
      <w:pPr>
        <w:spacing w:after="0" w:line="240" w:lineRule="auto"/>
        <w:rPr>
          <w:rFonts w:ascii="Times New Roman" w:hAnsi="Times New Roman" w:cs="Times New Roman"/>
          <w:b/>
          <w:bCs/>
          <w:sz w:val="24"/>
          <w:szCs w:val="24"/>
        </w:rPr>
      </w:pPr>
    </w:p>
    <w:p w14:paraId="199AC714" w14:textId="38430ADD" w:rsidR="009A287C" w:rsidRPr="00E51B0D" w:rsidRDefault="009A287C" w:rsidP="00BB3B3C">
      <w:pPr>
        <w:spacing w:after="0" w:line="240" w:lineRule="auto"/>
        <w:rPr>
          <w:rFonts w:ascii="Times New Roman" w:hAnsi="Times New Roman" w:cs="Times New Roman"/>
          <w:b/>
          <w:bCs/>
          <w:sz w:val="24"/>
          <w:szCs w:val="24"/>
        </w:rPr>
      </w:pPr>
      <w:r w:rsidRPr="00E51B0D">
        <w:rPr>
          <w:rFonts w:ascii="Times New Roman" w:hAnsi="Times New Roman" w:cs="Times New Roman"/>
          <w:b/>
          <w:bCs/>
          <w:sz w:val="24"/>
          <w:szCs w:val="24"/>
        </w:rPr>
        <w:t>Instructor:</w:t>
      </w:r>
      <w:r w:rsidRPr="00E51B0D">
        <w:rPr>
          <w:rFonts w:ascii="Times New Roman" w:hAnsi="Times New Roman" w:cs="Times New Roman"/>
          <w:b/>
          <w:bCs/>
          <w:sz w:val="24"/>
          <w:szCs w:val="24"/>
        </w:rPr>
        <w:tab/>
      </w:r>
      <w:r w:rsidRPr="00E51B0D">
        <w:rPr>
          <w:rFonts w:ascii="Times New Roman" w:hAnsi="Times New Roman" w:cs="Times New Roman"/>
          <w:b/>
          <w:bCs/>
          <w:sz w:val="24"/>
          <w:szCs w:val="24"/>
        </w:rPr>
        <w:tab/>
      </w:r>
      <w:r w:rsidRPr="00E51B0D">
        <w:rPr>
          <w:rFonts w:ascii="Times New Roman" w:hAnsi="Times New Roman" w:cs="Times New Roman"/>
          <w:b/>
          <w:bCs/>
          <w:sz w:val="24"/>
          <w:szCs w:val="24"/>
        </w:rPr>
        <w:tab/>
      </w:r>
      <w:r w:rsidR="00E133F6" w:rsidRPr="00E51B0D">
        <w:rPr>
          <w:rFonts w:ascii="Times New Roman" w:hAnsi="Times New Roman" w:cs="Times New Roman"/>
          <w:b/>
          <w:bCs/>
          <w:sz w:val="24"/>
          <w:szCs w:val="24"/>
        </w:rPr>
        <w:tab/>
      </w:r>
      <w:r w:rsidRPr="00E51B0D">
        <w:rPr>
          <w:rFonts w:ascii="Times New Roman" w:hAnsi="Times New Roman" w:cs="Times New Roman"/>
          <w:b/>
          <w:bCs/>
          <w:sz w:val="24"/>
          <w:szCs w:val="24"/>
        </w:rPr>
        <w:t>Dr. Abi Fapohunda</w:t>
      </w:r>
    </w:p>
    <w:p w14:paraId="21FF61E2" w14:textId="33F48562" w:rsidR="00832967" w:rsidRPr="0065370A" w:rsidRDefault="00832967" w:rsidP="00BB3B3C">
      <w:pPr>
        <w:spacing w:line="240" w:lineRule="auto"/>
        <w:rPr>
          <w:rFonts w:ascii="Times New Roman" w:hAnsi="Times New Roman" w:cs="Times New Roman"/>
          <w:color w:val="000000"/>
          <w:sz w:val="24"/>
          <w:szCs w:val="24"/>
        </w:rPr>
      </w:pPr>
      <w:r w:rsidRPr="0065370A">
        <w:rPr>
          <w:rFonts w:ascii="Times New Roman" w:hAnsi="Times New Roman" w:cs="Times New Roman"/>
          <w:b/>
          <w:bCs/>
          <w:color w:val="000000"/>
          <w:sz w:val="24"/>
          <w:szCs w:val="24"/>
        </w:rPr>
        <w:t>Email</w:t>
      </w:r>
      <w:r w:rsidRPr="0065370A">
        <w:rPr>
          <w:rFonts w:ascii="Times New Roman" w:hAnsi="Times New Roman" w:cs="Times New Roman"/>
          <w:color w:val="000000"/>
          <w:sz w:val="24"/>
          <w:szCs w:val="24"/>
        </w:rPr>
        <w:t xml:space="preserve">: </w:t>
      </w:r>
      <w:r w:rsidRPr="0065370A">
        <w:rPr>
          <w:rFonts w:ascii="Times New Roman" w:hAnsi="Times New Roman" w:cs="Times New Roman"/>
          <w:color w:val="000000"/>
          <w:sz w:val="24"/>
          <w:szCs w:val="24"/>
        </w:rPr>
        <w:tab/>
      </w:r>
      <w:r w:rsidRPr="0065370A">
        <w:rPr>
          <w:rFonts w:ascii="Times New Roman" w:hAnsi="Times New Roman" w:cs="Times New Roman"/>
          <w:color w:val="000000"/>
          <w:sz w:val="24"/>
          <w:szCs w:val="24"/>
        </w:rPr>
        <w:tab/>
      </w:r>
      <w:r w:rsidRPr="0065370A">
        <w:rPr>
          <w:rFonts w:ascii="Times New Roman" w:hAnsi="Times New Roman" w:cs="Times New Roman"/>
          <w:color w:val="000000"/>
          <w:sz w:val="24"/>
          <w:szCs w:val="24"/>
        </w:rPr>
        <w:tab/>
      </w:r>
      <w:r>
        <w:rPr>
          <w:rFonts w:ascii="Times New Roman" w:hAnsi="Times New Roman" w:cs="Times New Roman"/>
          <w:color w:val="000000"/>
          <w:sz w:val="24"/>
          <w:szCs w:val="24"/>
        </w:rPr>
        <w:tab/>
      </w:r>
      <w:hyperlink r:id="rId7" w:history="1">
        <w:r w:rsidRPr="0084618F">
          <w:rPr>
            <w:rStyle w:val="Hyperlink"/>
            <w:rFonts w:ascii="Times New Roman" w:hAnsi="Times New Roman" w:cs="Times New Roman"/>
            <w:sz w:val="24"/>
            <w:szCs w:val="24"/>
          </w:rPr>
          <w:t>aof3@pitt.edu</w:t>
        </w:r>
      </w:hyperlink>
    </w:p>
    <w:p w14:paraId="5D5AF012" w14:textId="0B8999B9" w:rsidR="00832967" w:rsidRPr="0065370A" w:rsidRDefault="00832967" w:rsidP="00BB3B3C">
      <w:pPr>
        <w:spacing w:line="240" w:lineRule="auto"/>
        <w:rPr>
          <w:rFonts w:ascii="Times New Roman" w:hAnsi="Times New Roman" w:cs="Times New Roman"/>
          <w:color w:val="000000"/>
          <w:sz w:val="24"/>
          <w:szCs w:val="24"/>
        </w:rPr>
      </w:pPr>
      <w:r w:rsidRPr="0065370A">
        <w:rPr>
          <w:rFonts w:ascii="Times New Roman" w:hAnsi="Times New Roman" w:cs="Times New Roman"/>
          <w:b/>
          <w:sz w:val="24"/>
          <w:szCs w:val="24"/>
        </w:rPr>
        <w:t xml:space="preserve">Office Hours: </w:t>
      </w:r>
      <w:r w:rsidRPr="0065370A">
        <w:rPr>
          <w:rFonts w:ascii="Times New Roman" w:hAnsi="Times New Roman" w:cs="Times New Roman"/>
          <w:b/>
          <w:sz w:val="24"/>
          <w:szCs w:val="24"/>
        </w:rPr>
        <w:tab/>
      </w:r>
      <w:r w:rsidRPr="0065370A">
        <w:rPr>
          <w:rFonts w:ascii="Times New Roman" w:hAnsi="Times New Roman" w:cs="Times New Roman"/>
          <w:b/>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04B8BBA2" w14:textId="77777777" w:rsidR="00832967" w:rsidRPr="0065370A" w:rsidRDefault="00832967" w:rsidP="00BB3B3C">
      <w:pPr>
        <w:spacing w:line="240" w:lineRule="auto"/>
        <w:rPr>
          <w:rFonts w:ascii="Times New Roman" w:hAnsi="Times New Roman" w:cs="Times New Roman"/>
          <w:sz w:val="24"/>
          <w:szCs w:val="24"/>
        </w:rPr>
      </w:pPr>
      <w:r w:rsidRPr="0065370A">
        <w:rPr>
          <w:rFonts w:ascii="Times New Roman" w:hAnsi="Times New Roman" w:cs="Times New Roman"/>
          <w:b/>
          <w:bCs/>
          <w:color w:val="000000"/>
          <w:sz w:val="24"/>
          <w:szCs w:val="24"/>
        </w:rPr>
        <w:t>Virtual Office</w:t>
      </w:r>
      <w:r w:rsidRPr="0065370A">
        <w:rPr>
          <w:rFonts w:ascii="Times New Roman" w:hAnsi="Times New Roman" w:cs="Times New Roman"/>
          <w:color w:val="000000"/>
          <w:sz w:val="24"/>
          <w:szCs w:val="24"/>
        </w:rPr>
        <w:t xml:space="preserve">: </w:t>
      </w:r>
      <w:r w:rsidRPr="0065370A">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370A">
        <w:rPr>
          <w:rFonts w:ascii="Times New Roman" w:eastAsia="Constantia" w:hAnsi="Times New Roman" w:cs="Times New Roman"/>
          <w:sz w:val="24"/>
          <w:szCs w:val="24"/>
        </w:rPr>
        <w:t>https://pitt.zoom.us/j/3968282969</w:t>
      </w:r>
    </w:p>
    <w:p w14:paraId="5E7DFF86" w14:textId="77777777" w:rsidR="002A5D0C" w:rsidRDefault="002A5D0C" w:rsidP="00BB3B3C">
      <w:pPr>
        <w:spacing w:after="0" w:line="240" w:lineRule="auto"/>
        <w:textAlignment w:val="baseline"/>
        <w:rPr>
          <w:rFonts w:ascii="Times New Roman" w:hAnsi="Times New Roman" w:cs="Times New Roman"/>
          <w:b/>
          <w:bCs/>
          <w:sz w:val="24"/>
          <w:szCs w:val="24"/>
        </w:rPr>
      </w:pPr>
    </w:p>
    <w:p w14:paraId="3B76EA7B" w14:textId="485420E0" w:rsidR="00E133F6" w:rsidRPr="00E51B0D" w:rsidRDefault="00EC7B84" w:rsidP="00BB3B3C">
      <w:pPr>
        <w:spacing w:after="0" w:line="240" w:lineRule="auto"/>
        <w:textAlignment w:val="baseline"/>
        <w:rPr>
          <w:rFonts w:ascii="Times New Roman" w:hAnsi="Times New Roman" w:cs="Times New Roman"/>
          <w:b/>
          <w:bCs/>
          <w:sz w:val="24"/>
          <w:szCs w:val="24"/>
        </w:rPr>
      </w:pPr>
      <w:r w:rsidRPr="00E51B0D">
        <w:rPr>
          <w:rFonts w:ascii="Times New Roman" w:hAnsi="Times New Roman" w:cs="Times New Roman"/>
          <w:b/>
          <w:bCs/>
          <w:sz w:val="24"/>
          <w:szCs w:val="24"/>
        </w:rPr>
        <w:t xml:space="preserve">Description: </w:t>
      </w:r>
    </w:p>
    <w:p w14:paraId="491D5CE8" w14:textId="4F4836C8" w:rsidR="00823F21" w:rsidRPr="00BB3B3C" w:rsidRDefault="004B76C8" w:rsidP="00BB3B3C">
      <w:pPr>
        <w:spacing w:after="0" w:line="240" w:lineRule="auto"/>
        <w:ind w:left="720"/>
        <w:textAlignment w:val="baseline"/>
        <w:rPr>
          <w:rFonts w:ascii="Times New Roman" w:eastAsia="Times New Roman" w:hAnsi="Times New Roman" w:cs="Times New Roman"/>
          <w:sz w:val="24"/>
          <w:szCs w:val="24"/>
        </w:rPr>
      </w:pPr>
      <w:r w:rsidRPr="00E51B0D">
        <w:rPr>
          <w:rFonts w:ascii="Times New Roman" w:hAnsi="Times New Roman" w:cs="Times New Roman"/>
          <w:sz w:val="24"/>
          <w:szCs w:val="24"/>
        </w:rPr>
        <w:t xml:space="preserve">This 1- credit course, offered </w:t>
      </w:r>
      <w:r w:rsidRPr="00E51B0D">
        <w:rPr>
          <w:rFonts w:ascii="Times New Roman" w:eastAsia="Times New Roman" w:hAnsi="Times New Roman" w:cs="Times New Roman"/>
          <w:sz w:val="24"/>
          <w:szCs w:val="24"/>
        </w:rPr>
        <w:t xml:space="preserve">through the Global Studies Center </w:t>
      </w:r>
      <w:r>
        <w:rPr>
          <w:rFonts w:ascii="Times New Roman" w:eastAsia="Times New Roman" w:hAnsi="Times New Roman" w:cs="Times New Roman"/>
          <w:sz w:val="24"/>
          <w:szCs w:val="24"/>
        </w:rPr>
        <w:t xml:space="preserve">and co-sponsored by the </w:t>
      </w:r>
      <w:r w:rsidRPr="00E51B0D">
        <w:rPr>
          <w:rFonts w:ascii="Times New Roman" w:eastAsia="Times New Roman" w:hAnsi="Times New Roman" w:cs="Times New Roman"/>
          <w:sz w:val="24"/>
          <w:szCs w:val="24"/>
        </w:rPr>
        <w:t xml:space="preserve">Department of Africana Studies, offers an opportunity for students to learn </w:t>
      </w:r>
      <w:r>
        <w:rPr>
          <w:rFonts w:ascii="Times New Roman" w:eastAsia="Times New Roman" w:hAnsi="Times New Roman" w:cs="Times New Roman"/>
          <w:sz w:val="24"/>
          <w:szCs w:val="24"/>
        </w:rPr>
        <w:t>about t</w:t>
      </w:r>
      <w:r w:rsidRPr="00E51B0D">
        <w:rPr>
          <w:rFonts w:ascii="Times New Roman" w:eastAsia="Times New Roman" w:hAnsi="Times New Roman" w:cs="Times New Roman"/>
          <w:sz w:val="24"/>
          <w:szCs w:val="24"/>
        </w:rPr>
        <w:t>he compounding effect</w:t>
      </w:r>
      <w:r>
        <w:rPr>
          <w:rFonts w:ascii="Times New Roman" w:eastAsia="Times New Roman" w:hAnsi="Times New Roman" w:cs="Times New Roman"/>
          <w:sz w:val="24"/>
          <w:szCs w:val="24"/>
        </w:rPr>
        <w:t>s</w:t>
      </w:r>
      <w:r w:rsidRPr="00E51B0D">
        <w:rPr>
          <w:rFonts w:ascii="Times New Roman" w:eastAsia="Times New Roman" w:hAnsi="Times New Roman" w:cs="Times New Roman"/>
          <w:sz w:val="24"/>
          <w:szCs w:val="24"/>
        </w:rPr>
        <w:t xml:space="preserve"> of multiple forms of inequality or disadvantage and how the</w:t>
      </w:r>
      <w:r>
        <w:rPr>
          <w:rFonts w:ascii="Times New Roman" w:eastAsia="Times New Roman" w:hAnsi="Times New Roman" w:cs="Times New Roman"/>
          <w:sz w:val="24"/>
          <w:szCs w:val="24"/>
        </w:rPr>
        <w:t xml:space="preserve">y impact COVID-19 exposure, cases, and deaths. </w:t>
      </w:r>
      <w:r w:rsidRPr="00E51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E51B0D">
        <w:rPr>
          <w:rFonts w:ascii="Times New Roman" w:eastAsia="Times New Roman" w:hAnsi="Times New Roman" w:cs="Times New Roman"/>
          <w:sz w:val="24"/>
          <w:szCs w:val="24"/>
        </w:rPr>
        <w:t>obstacles th</w:t>
      </w:r>
      <w:r>
        <w:rPr>
          <w:rFonts w:ascii="Times New Roman" w:eastAsia="Times New Roman" w:hAnsi="Times New Roman" w:cs="Times New Roman"/>
          <w:sz w:val="24"/>
          <w:szCs w:val="24"/>
        </w:rPr>
        <w:t>at inequalities</w:t>
      </w:r>
      <w:r w:rsidRPr="00E51B0D">
        <w:rPr>
          <w:rFonts w:ascii="Times New Roman" w:eastAsia="Times New Roman" w:hAnsi="Times New Roman" w:cs="Times New Roman"/>
          <w:sz w:val="24"/>
          <w:szCs w:val="24"/>
        </w:rPr>
        <w:t xml:space="preserve"> create may not be easily discernible or understood by looking at or thinking about racism, health and now the impact of COVID-19, among African Americans, in a conventional way. You cannot change outcomes without understanding the cause</w:t>
      </w:r>
      <w:r>
        <w:rPr>
          <w:rFonts w:ascii="Times New Roman" w:eastAsia="Times New Roman" w:hAnsi="Times New Roman" w:cs="Times New Roman"/>
          <w:sz w:val="24"/>
          <w:szCs w:val="24"/>
        </w:rPr>
        <w:t>s</w:t>
      </w:r>
      <w:r w:rsidRPr="00E51B0D">
        <w:rPr>
          <w:rFonts w:ascii="Times New Roman" w:eastAsia="Times New Roman" w:hAnsi="Times New Roman" w:cs="Times New Roman"/>
          <w:sz w:val="24"/>
          <w:szCs w:val="24"/>
        </w:rPr>
        <w:t xml:space="preserve"> or how they come about. The pandemic has exposed systemic racial inequalities in the U.S. health delivery system. Why are African American and other </w:t>
      </w:r>
      <w:r w:rsidR="00BB3B3C">
        <w:rPr>
          <w:rFonts w:ascii="Times New Roman" w:eastAsia="Times New Roman" w:hAnsi="Times New Roman" w:cs="Times New Roman"/>
          <w:sz w:val="24"/>
          <w:szCs w:val="24"/>
        </w:rPr>
        <w:t>people</w:t>
      </w:r>
      <w:r w:rsidRPr="00E51B0D">
        <w:rPr>
          <w:rFonts w:ascii="Times New Roman" w:eastAsia="Times New Roman" w:hAnsi="Times New Roman" w:cs="Times New Roman"/>
          <w:sz w:val="24"/>
          <w:szCs w:val="24"/>
        </w:rPr>
        <w:t xml:space="preserve"> </w:t>
      </w:r>
      <w:r w:rsidR="00BB3B3C">
        <w:rPr>
          <w:rFonts w:ascii="Times New Roman" w:eastAsia="Times New Roman" w:hAnsi="Times New Roman" w:cs="Times New Roman"/>
          <w:sz w:val="24"/>
          <w:szCs w:val="24"/>
        </w:rPr>
        <w:t xml:space="preserve">of color </w:t>
      </w:r>
      <w:r w:rsidRPr="00E51B0D">
        <w:rPr>
          <w:rFonts w:ascii="Times New Roman" w:eastAsia="Times New Roman" w:hAnsi="Times New Roman" w:cs="Times New Roman"/>
          <w:sz w:val="24"/>
          <w:szCs w:val="24"/>
        </w:rPr>
        <w:t xml:space="preserve">being hit hard by COVID-19? In this class, we will read pertinent literature and discuss racially issues including what it means to be </w:t>
      </w:r>
      <w:r w:rsidR="006529F5">
        <w:rPr>
          <w:rFonts w:ascii="Times New Roman" w:eastAsia="Times New Roman" w:hAnsi="Times New Roman" w:cs="Times New Roman"/>
          <w:sz w:val="24"/>
          <w:szCs w:val="24"/>
        </w:rPr>
        <w:t xml:space="preserve">a </w:t>
      </w:r>
      <w:r w:rsidR="00832967">
        <w:rPr>
          <w:rFonts w:ascii="Times New Roman" w:eastAsia="Times New Roman" w:hAnsi="Times New Roman" w:cs="Times New Roman"/>
          <w:sz w:val="24"/>
          <w:szCs w:val="24"/>
        </w:rPr>
        <w:t>pe</w:t>
      </w:r>
      <w:r w:rsidR="006529F5">
        <w:rPr>
          <w:rFonts w:ascii="Times New Roman" w:eastAsia="Times New Roman" w:hAnsi="Times New Roman" w:cs="Times New Roman"/>
          <w:sz w:val="24"/>
          <w:szCs w:val="24"/>
        </w:rPr>
        <w:t>rson</w:t>
      </w:r>
      <w:r w:rsidR="00832967">
        <w:rPr>
          <w:rFonts w:ascii="Times New Roman" w:eastAsia="Times New Roman" w:hAnsi="Times New Roman" w:cs="Times New Roman"/>
          <w:sz w:val="24"/>
          <w:szCs w:val="24"/>
        </w:rPr>
        <w:t xml:space="preserve"> of color</w:t>
      </w:r>
      <w:r w:rsidRPr="00E51B0D">
        <w:rPr>
          <w:rFonts w:ascii="Times New Roman" w:eastAsia="Times New Roman" w:hAnsi="Times New Roman" w:cs="Times New Roman"/>
          <w:sz w:val="24"/>
          <w:szCs w:val="24"/>
        </w:rPr>
        <w:t xml:space="preserve"> in the U.S. during a pandemic. We will focus on pre-existing conditions, essential workers, structural inequities, and how social determinants of health are influenced by implicit bias and racial discrimination. </w:t>
      </w:r>
    </w:p>
    <w:p w14:paraId="2582DBA7" w14:textId="77777777" w:rsidR="00832967" w:rsidRDefault="00832967" w:rsidP="00BB3B3C">
      <w:pPr>
        <w:spacing w:after="0" w:line="240" w:lineRule="auto"/>
        <w:rPr>
          <w:rFonts w:ascii="Times New Roman" w:hAnsi="Times New Roman" w:cs="Times New Roman"/>
          <w:b/>
          <w:bCs/>
          <w:sz w:val="24"/>
          <w:szCs w:val="24"/>
        </w:rPr>
      </w:pPr>
    </w:p>
    <w:p w14:paraId="2AB56F35" w14:textId="09809939" w:rsidR="00E133F6" w:rsidRPr="00E51B0D" w:rsidRDefault="00EB775B" w:rsidP="00BB3B3C">
      <w:pPr>
        <w:spacing w:after="0" w:line="240" w:lineRule="auto"/>
        <w:rPr>
          <w:rFonts w:ascii="Times New Roman" w:hAnsi="Times New Roman" w:cs="Times New Roman"/>
          <w:b/>
          <w:bCs/>
          <w:sz w:val="24"/>
          <w:szCs w:val="24"/>
        </w:rPr>
      </w:pPr>
      <w:r w:rsidRPr="00E51B0D">
        <w:rPr>
          <w:rFonts w:ascii="Times New Roman" w:hAnsi="Times New Roman" w:cs="Times New Roman"/>
          <w:b/>
          <w:bCs/>
          <w:sz w:val="24"/>
          <w:szCs w:val="24"/>
        </w:rPr>
        <w:t xml:space="preserve">Structure: </w:t>
      </w:r>
    </w:p>
    <w:p w14:paraId="4C607280" w14:textId="1F29D313" w:rsidR="00EC7B84" w:rsidRPr="00E51B0D" w:rsidRDefault="00EB775B" w:rsidP="00BB3B3C">
      <w:pPr>
        <w:spacing w:after="0" w:line="240" w:lineRule="auto"/>
        <w:ind w:left="720"/>
        <w:rPr>
          <w:rFonts w:ascii="Times New Roman" w:eastAsia="Times New Roman" w:hAnsi="Times New Roman" w:cs="Times New Roman"/>
          <w:sz w:val="24"/>
          <w:szCs w:val="24"/>
        </w:rPr>
      </w:pPr>
      <w:r w:rsidRPr="00E51B0D">
        <w:rPr>
          <w:rFonts w:ascii="Times New Roman" w:hAnsi="Times New Roman" w:cs="Times New Roman"/>
          <w:sz w:val="24"/>
          <w:szCs w:val="24"/>
        </w:rPr>
        <w:t xml:space="preserve">This </w:t>
      </w:r>
      <w:r w:rsidR="00823F21" w:rsidRPr="00E51B0D">
        <w:rPr>
          <w:rFonts w:ascii="Times New Roman" w:hAnsi="Times New Roman" w:cs="Times New Roman"/>
          <w:sz w:val="24"/>
          <w:szCs w:val="24"/>
        </w:rPr>
        <w:t xml:space="preserve">class </w:t>
      </w:r>
      <w:r w:rsidRPr="00E51B0D">
        <w:rPr>
          <w:rFonts w:ascii="Times New Roman" w:hAnsi="Times New Roman" w:cs="Times New Roman"/>
          <w:sz w:val="24"/>
          <w:szCs w:val="24"/>
        </w:rPr>
        <w:t>will be a seminar (discussion) class. Students will be assigned weekly readings or vide</w:t>
      </w:r>
      <w:r w:rsidR="00823F21" w:rsidRPr="00E51B0D">
        <w:rPr>
          <w:rFonts w:ascii="Times New Roman" w:hAnsi="Times New Roman" w:cs="Times New Roman"/>
          <w:sz w:val="24"/>
          <w:szCs w:val="24"/>
        </w:rPr>
        <w:t>o(</w:t>
      </w:r>
      <w:r w:rsidRPr="00E51B0D">
        <w:rPr>
          <w:rFonts w:ascii="Times New Roman" w:hAnsi="Times New Roman" w:cs="Times New Roman"/>
          <w:sz w:val="24"/>
          <w:szCs w:val="24"/>
        </w:rPr>
        <w:t>s</w:t>
      </w:r>
      <w:r w:rsidR="00823F21" w:rsidRPr="00E51B0D">
        <w:rPr>
          <w:rFonts w:ascii="Times New Roman" w:hAnsi="Times New Roman" w:cs="Times New Roman"/>
          <w:sz w:val="24"/>
          <w:szCs w:val="24"/>
        </w:rPr>
        <w:t xml:space="preserve">) </w:t>
      </w:r>
      <w:r w:rsidRPr="00E51B0D">
        <w:rPr>
          <w:rFonts w:ascii="Times New Roman" w:hAnsi="Times New Roman" w:cs="Times New Roman"/>
          <w:sz w:val="24"/>
          <w:szCs w:val="24"/>
        </w:rPr>
        <w:t xml:space="preserve">to watch on </w:t>
      </w:r>
      <w:r w:rsidRPr="00E51B0D">
        <w:rPr>
          <w:rFonts w:ascii="Times New Roman" w:eastAsia="Times New Roman" w:hAnsi="Times New Roman" w:cs="Times New Roman"/>
          <w:sz w:val="24"/>
          <w:szCs w:val="24"/>
        </w:rPr>
        <w:t xml:space="preserve">structural inequities and social determinants of health, </w:t>
      </w:r>
      <w:r w:rsidR="00823F21" w:rsidRPr="00E51B0D">
        <w:rPr>
          <w:rFonts w:ascii="Times New Roman" w:eastAsia="Times New Roman" w:hAnsi="Times New Roman" w:cs="Times New Roman"/>
          <w:sz w:val="24"/>
          <w:szCs w:val="24"/>
        </w:rPr>
        <w:t xml:space="preserve">and </w:t>
      </w:r>
      <w:r w:rsidRPr="00E51B0D">
        <w:rPr>
          <w:rFonts w:ascii="Times New Roman" w:eastAsia="Times New Roman" w:hAnsi="Times New Roman" w:cs="Times New Roman"/>
          <w:sz w:val="24"/>
          <w:szCs w:val="24"/>
        </w:rPr>
        <w:t xml:space="preserve">COVID-19 and its </w:t>
      </w:r>
      <w:r w:rsidR="00E133F6" w:rsidRPr="00E51B0D">
        <w:rPr>
          <w:rFonts w:ascii="Times New Roman" w:eastAsia="Times New Roman" w:hAnsi="Times New Roman" w:cs="Times New Roman"/>
          <w:sz w:val="24"/>
          <w:szCs w:val="24"/>
        </w:rPr>
        <w:t>implications from</w:t>
      </w:r>
      <w:r w:rsidRPr="00E51B0D">
        <w:rPr>
          <w:rFonts w:ascii="Times New Roman" w:eastAsia="Times New Roman" w:hAnsi="Times New Roman" w:cs="Times New Roman"/>
          <w:sz w:val="24"/>
          <w:szCs w:val="24"/>
        </w:rPr>
        <w:t xml:space="preserve"> a public health perspective.  </w:t>
      </w:r>
    </w:p>
    <w:p w14:paraId="5842C302" w14:textId="77777777" w:rsidR="00BB3B3C" w:rsidRDefault="00BB3B3C" w:rsidP="00BB3B3C">
      <w:pPr>
        <w:spacing w:after="0" w:line="240" w:lineRule="auto"/>
        <w:rPr>
          <w:rFonts w:ascii="Times New Roman" w:eastAsia="Times New Roman" w:hAnsi="Times New Roman" w:cs="Times New Roman"/>
          <w:b/>
          <w:bCs/>
          <w:sz w:val="24"/>
          <w:szCs w:val="24"/>
        </w:rPr>
      </w:pPr>
    </w:p>
    <w:p w14:paraId="5252C578" w14:textId="1D80261C" w:rsidR="00E133F6" w:rsidRPr="00E51B0D" w:rsidRDefault="00EB775B" w:rsidP="00BB3B3C">
      <w:pPr>
        <w:spacing w:after="0" w:line="240" w:lineRule="auto"/>
        <w:rPr>
          <w:rFonts w:ascii="Times New Roman" w:eastAsia="Times New Roman" w:hAnsi="Times New Roman" w:cs="Times New Roman"/>
          <w:b/>
          <w:bCs/>
          <w:sz w:val="24"/>
          <w:szCs w:val="24"/>
        </w:rPr>
      </w:pPr>
      <w:r w:rsidRPr="00E51B0D">
        <w:rPr>
          <w:rFonts w:ascii="Times New Roman" w:eastAsia="Times New Roman" w:hAnsi="Times New Roman" w:cs="Times New Roman"/>
          <w:b/>
          <w:bCs/>
          <w:sz w:val="24"/>
          <w:szCs w:val="24"/>
        </w:rPr>
        <w:t>Objectives:</w:t>
      </w:r>
    </w:p>
    <w:p w14:paraId="21333BEE" w14:textId="32685804" w:rsidR="00EB775B" w:rsidRPr="002A5D0C" w:rsidRDefault="00823F21" w:rsidP="00BB3B3C">
      <w:pPr>
        <w:spacing w:after="0" w:line="240" w:lineRule="auto"/>
        <w:rPr>
          <w:rFonts w:ascii="Times New Roman" w:eastAsia="Times New Roman" w:hAnsi="Times New Roman" w:cs="Times New Roman"/>
          <w:sz w:val="24"/>
          <w:szCs w:val="24"/>
        </w:rPr>
      </w:pPr>
      <w:r w:rsidRPr="002A5D0C">
        <w:rPr>
          <w:rFonts w:ascii="Times New Roman" w:eastAsia="Times New Roman" w:hAnsi="Times New Roman" w:cs="Times New Roman"/>
          <w:sz w:val="24"/>
          <w:szCs w:val="24"/>
        </w:rPr>
        <w:t>At</w:t>
      </w:r>
      <w:r w:rsidR="00EB775B" w:rsidRPr="002A5D0C">
        <w:rPr>
          <w:rFonts w:ascii="Times New Roman" w:eastAsia="Times New Roman" w:hAnsi="Times New Roman" w:cs="Times New Roman"/>
          <w:sz w:val="24"/>
          <w:szCs w:val="24"/>
        </w:rPr>
        <w:t xml:space="preserve"> the end of the course, </w:t>
      </w:r>
      <w:r w:rsidRPr="002A5D0C">
        <w:rPr>
          <w:rFonts w:ascii="Times New Roman" w:eastAsia="Times New Roman" w:hAnsi="Times New Roman" w:cs="Times New Roman"/>
          <w:sz w:val="24"/>
          <w:szCs w:val="24"/>
        </w:rPr>
        <w:t xml:space="preserve">students </w:t>
      </w:r>
      <w:r w:rsidR="00EB775B" w:rsidRPr="002A5D0C">
        <w:rPr>
          <w:rFonts w:ascii="Times New Roman" w:eastAsia="Times New Roman" w:hAnsi="Times New Roman" w:cs="Times New Roman"/>
          <w:sz w:val="24"/>
          <w:szCs w:val="24"/>
        </w:rPr>
        <w:t>will</w:t>
      </w:r>
      <w:r w:rsidRPr="002A5D0C">
        <w:rPr>
          <w:rFonts w:ascii="Times New Roman" w:eastAsia="Times New Roman" w:hAnsi="Times New Roman" w:cs="Times New Roman"/>
          <w:sz w:val="24"/>
          <w:szCs w:val="24"/>
        </w:rPr>
        <w:t>, hopefully</w:t>
      </w:r>
      <w:r w:rsidR="00EB775B" w:rsidRPr="002A5D0C">
        <w:rPr>
          <w:rFonts w:ascii="Times New Roman" w:eastAsia="Times New Roman" w:hAnsi="Times New Roman" w:cs="Times New Roman"/>
          <w:sz w:val="24"/>
          <w:szCs w:val="24"/>
        </w:rPr>
        <w:t>:</w:t>
      </w:r>
    </w:p>
    <w:p w14:paraId="7E67F131" w14:textId="2E441D17" w:rsidR="007A6F98" w:rsidRPr="00E51B0D" w:rsidRDefault="00EB775B" w:rsidP="00BB3B3C">
      <w:pPr>
        <w:pStyle w:val="ListParagraph"/>
        <w:numPr>
          <w:ilvl w:val="0"/>
          <w:numId w:val="1"/>
        </w:numPr>
        <w:spacing w:after="0" w:line="240" w:lineRule="auto"/>
        <w:rPr>
          <w:rFonts w:ascii="Times New Roman" w:hAnsi="Times New Roman" w:cs="Times New Roman"/>
          <w:sz w:val="24"/>
          <w:szCs w:val="24"/>
        </w:rPr>
      </w:pPr>
      <w:r w:rsidRPr="00E51B0D">
        <w:rPr>
          <w:rFonts w:ascii="Times New Roman" w:hAnsi="Times New Roman" w:cs="Times New Roman"/>
          <w:sz w:val="24"/>
          <w:szCs w:val="24"/>
        </w:rPr>
        <w:t xml:space="preserve">Understand the relationship between </w:t>
      </w:r>
      <w:r w:rsidR="007A6F98" w:rsidRPr="00E51B0D">
        <w:rPr>
          <w:rFonts w:ascii="Times New Roman" w:hAnsi="Times New Roman" w:cs="Times New Roman"/>
          <w:sz w:val="24"/>
          <w:szCs w:val="24"/>
        </w:rPr>
        <w:t xml:space="preserve">racism and </w:t>
      </w:r>
      <w:r w:rsidR="00E51B0D" w:rsidRPr="00E51B0D">
        <w:rPr>
          <w:rFonts w:ascii="Times New Roman" w:hAnsi="Times New Roman" w:cs="Times New Roman"/>
          <w:sz w:val="24"/>
          <w:szCs w:val="24"/>
        </w:rPr>
        <w:t xml:space="preserve">people of color </w:t>
      </w:r>
      <w:r w:rsidR="007A6F98" w:rsidRPr="00E51B0D">
        <w:rPr>
          <w:rFonts w:ascii="Times New Roman" w:hAnsi="Times New Roman" w:cs="Times New Roman"/>
          <w:sz w:val="24"/>
          <w:szCs w:val="24"/>
        </w:rPr>
        <w:t>vulnerability to COVID-19</w:t>
      </w:r>
    </w:p>
    <w:p w14:paraId="6C32A3AE" w14:textId="6D782F36" w:rsidR="00EB775B" w:rsidRPr="00E51B0D" w:rsidRDefault="00823F21" w:rsidP="00BB3B3C">
      <w:pPr>
        <w:pStyle w:val="ListParagraph"/>
        <w:numPr>
          <w:ilvl w:val="0"/>
          <w:numId w:val="1"/>
        </w:numPr>
        <w:spacing w:after="0" w:line="240" w:lineRule="auto"/>
        <w:rPr>
          <w:rFonts w:ascii="Times New Roman" w:hAnsi="Times New Roman" w:cs="Times New Roman"/>
          <w:sz w:val="24"/>
          <w:szCs w:val="24"/>
        </w:rPr>
      </w:pPr>
      <w:r w:rsidRPr="00E51B0D">
        <w:rPr>
          <w:rFonts w:ascii="Times New Roman" w:hAnsi="Times New Roman" w:cs="Times New Roman"/>
          <w:sz w:val="24"/>
          <w:szCs w:val="24"/>
        </w:rPr>
        <w:t xml:space="preserve">Use the information garnered to put in perspective the challenging conditions </w:t>
      </w:r>
      <w:r w:rsidR="00E51B0D" w:rsidRPr="00E51B0D">
        <w:rPr>
          <w:rFonts w:ascii="Times New Roman" w:hAnsi="Times New Roman" w:cs="Times New Roman"/>
          <w:sz w:val="24"/>
          <w:szCs w:val="24"/>
        </w:rPr>
        <w:t>under which</w:t>
      </w:r>
      <w:r w:rsidR="007A6F98" w:rsidRPr="00E51B0D">
        <w:rPr>
          <w:rFonts w:ascii="Times New Roman" w:hAnsi="Times New Roman" w:cs="Times New Roman"/>
          <w:sz w:val="24"/>
          <w:szCs w:val="24"/>
        </w:rPr>
        <w:t xml:space="preserve"> African Americans have lived</w:t>
      </w:r>
      <w:r w:rsidR="00EB775B" w:rsidRPr="00E51B0D">
        <w:rPr>
          <w:rFonts w:ascii="Times New Roman" w:hAnsi="Times New Roman" w:cs="Times New Roman"/>
          <w:sz w:val="24"/>
          <w:szCs w:val="24"/>
        </w:rPr>
        <w:t xml:space="preserve"> </w:t>
      </w:r>
      <w:r w:rsidR="007A6F98" w:rsidRPr="00E51B0D">
        <w:rPr>
          <w:rFonts w:ascii="Times New Roman" w:hAnsi="Times New Roman" w:cs="Times New Roman"/>
          <w:sz w:val="24"/>
          <w:szCs w:val="24"/>
        </w:rPr>
        <w:t>for centuries</w:t>
      </w:r>
    </w:p>
    <w:p w14:paraId="2F2B793F" w14:textId="381F66CE" w:rsidR="007A6F98" w:rsidRDefault="007A6F98" w:rsidP="00BB3B3C">
      <w:pPr>
        <w:pStyle w:val="ListParagraph"/>
        <w:numPr>
          <w:ilvl w:val="0"/>
          <w:numId w:val="1"/>
        </w:numPr>
        <w:spacing w:after="0" w:line="240" w:lineRule="auto"/>
        <w:rPr>
          <w:rFonts w:ascii="Times New Roman" w:hAnsi="Times New Roman" w:cs="Times New Roman"/>
          <w:sz w:val="24"/>
          <w:szCs w:val="24"/>
        </w:rPr>
      </w:pPr>
      <w:r w:rsidRPr="00E51B0D">
        <w:rPr>
          <w:rFonts w:ascii="Times New Roman" w:hAnsi="Times New Roman" w:cs="Times New Roman"/>
          <w:sz w:val="24"/>
          <w:szCs w:val="24"/>
        </w:rPr>
        <w:t xml:space="preserve">Understand the implications of structural inequities and the </w:t>
      </w:r>
      <w:r w:rsidR="00823F21" w:rsidRPr="00E51B0D">
        <w:rPr>
          <w:rFonts w:ascii="Times New Roman" w:hAnsi="Times New Roman" w:cs="Times New Roman"/>
          <w:sz w:val="24"/>
          <w:szCs w:val="24"/>
        </w:rPr>
        <w:t xml:space="preserve">lopsided </w:t>
      </w:r>
      <w:r w:rsidRPr="00E51B0D">
        <w:rPr>
          <w:rFonts w:ascii="Times New Roman" w:hAnsi="Times New Roman" w:cs="Times New Roman"/>
          <w:sz w:val="24"/>
          <w:szCs w:val="24"/>
        </w:rPr>
        <w:t xml:space="preserve">impact of COVID-19 </w:t>
      </w:r>
      <w:r w:rsidR="00823F21" w:rsidRPr="00E51B0D">
        <w:rPr>
          <w:rFonts w:ascii="Times New Roman" w:hAnsi="Times New Roman" w:cs="Times New Roman"/>
          <w:sz w:val="24"/>
          <w:szCs w:val="24"/>
        </w:rPr>
        <w:t>on the Black</w:t>
      </w:r>
      <w:r w:rsidR="00E51B0D" w:rsidRPr="00E51B0D">
        <w:rPr>
          <w:rFonts w:ascii="Times New Roman" w:hAnsi="Times New Roman" w:cs="Times New Roman"/>
          <w:sz w:val="24"/>
          <w:szCs w:val="24"/>
        </w:rPr>
        <w:t xml:space="preserve"> and other </w:t>
      </w:r>
      <w:r w:rsidR="00832967">
        <w:rPr>
          <w:rFonts w:ascii="Times New Roman" w:hAnsi="Times New Roman" w:cs="Times New Roman"/>
          <w:sz w:val="24"/>
          <w:szCs w:val="24"/>
        </w:rPr>
        <w:t xml:space="preserve">people of color </w:t>
      </w:r>
      <w:r w:rsidR="00E51B0D" w:rsidRPr="00E51B0D">
        <w:rPr>
          <w:rFonts w:ascii="Times New Roman" w:hAnsi="Times New Roman" w:cs="Times New Roman"/>
          <w:sz w:val="24"/>
          <w:szCs w:val="24"/>
        </w:rPr>
        <w:t>communities.</w:t>
      </w:r>
    </w:p>
    <w:p w14:paraId="7611F3CB" w14:textId="77777777" w:rsidR="00BB3B3C" w:rsidRDefault="00BB3B3C" w:rsidP="00BB3B3C">
      <w:pPr>
        <w:spacing w:after="0" w:line="240" w:lineRule="auto"/>
        <w:rPr>
          <w:rFonts w:ascii="Times New Roman" w:hAnsi="Times New Roman" w:cs="Times New Roman"/>
          <w:b/>
          <w:bCs/>
          <w:sz w:val="24"/>
          <w:szCs w:val="24"/>
        </w:rPr>
      </w:pPr>
    </w:p>
    <w:p w14:paraId="164BED1A" w14:textId="143FFE78" w:rsidR="00FC4094" w:rsidRPr="00E51B0D" w:rsidRDefault="00FC4094" w:rsidP="00BB3B3C">
      <w:pPr>
        <w:spacing w:after="0" w:line="240" w:lineRule="auto"/>
        <w:rPr>
          <w:rFonts w:ascii="Times New Roman" w:hAnsi="Times New Roman" w:cs="Times New Roman"/>
          <w:b/>
          <w:bCs/>
          <w:sz w:val="24"/>
          <w:szCs w:val="24"/>
        </w:rPr>
      </w:pPr>
      <w:r w:rsidRPr="00E51B0D">
        <w:rPr>
          <w:rFonts w:ascii="Times New Roman" w:hAnsi="Times New Roman" w:cs="Times New Roman"/>
          <w:b/>
          <w:bCs/>
          <w:sz w:val="24"/>
          <w:szCs w:val="24"/>
        </w:rPr>
        <w:t>Assignment:</w:t>
      </w:r>
    </w:p>
    <w:p w14:paraId="165B2E7F" w14:textId="6E9581D4" w:rsidR="00823F21" w:rsidRPr="00391C1B" w:rsidRDefault="00FC4094" w:rsidP="00BB3B3C">
      <w:pPr>
        <w:spacing w:after="0" w:line="240" w:lineRule="auto"/>
        <w:ind w:left="720"/>
        <w:rPr>
          <w:rFonts w:ascii="Times New Roman" w:hAnsi="Times New Roman" w:cs="Times New Roman"/>
          <w:sz w:val="24"/>
          <w:szCs w:val="24"/>
        </w:rPr>
      </w:pPr>
      <w:r w:rsidRPr="00E51B0D">
        <w:rPr>
          <w:rFonts w:ascii="Times New Roman" w:hAnsi="Times New Roman" w:cs="Times New Roman"/>
          <w:i/>
          <w:iCs/>
          <w:sz w:val="24"/>
          <w:szCs w:val="24"/>
        </w:rPr>
        <w:t>Weekly Assignments</w:t>
      </w:r>
      <w:r w:rsidRPr="00E51B0D">
        <w:rPr>
          <w:rFonts w:ascii="Times New Roman" w:hAnsi="Times New Roman" w:cs="Times New Roman"/>
          <w:sz w:val="24"/>
          <w:szCs w:val="24"/>
        </w:rPr>
        <w:t xml:space="preserve">: There will be a question posted weekly on Canvas in preparation for class discussion. </w:t>
      </w:r>
      <w:r w:rsidR="00823F21" w:rsidRPr="00E51B0D">
        <w:rPr>
          <w:rFonts w:ascii="Times New Roman" w:hAnsi="Times New Roman" w:cs="Times New Roman"/>
          <w:sz w:val="24"/>
          <w:szCs w:val="24"/>
        </w:rPr>
        <w:t xml:space="preserve">Students </w:t>
      </w:r>
      <w:r w:rsidRPr="00E51B0D">
        <w:rPr>
          <w:rFonts w:ascii="Times New Roman" w:hAnsi="Times New Roman" w:cs="Times New Roman"/>
          <w:sz w:val="24"/>
          <w:szCs w:val="24"/>
        </w:rPr>
        <w:t xml:space="preserve">are expected to write a short answer to the question </w:t>
      </w:r>
      <w:r w:rsidR="00823F21" w:rsidRPr="00E51B0D">
        <w:rPr>
          <w:rFonts w:ascii="Times New Roman" w:hAnsi="Times New Roman" w:cs="Times New Roman"/>
          <w:sz w:val="24"/>
          <w:szCs w:val="24"/>
        </w:rPr>
        <w:t xml:space="preserve">(no longer than 200 words) </w:t>
      </w:r>
      <w:r w:rsidRPr="00E51B0D">
        <w:rPr>
          <w:rFonts w:ascii="Times New Roman" w:hAnsi="Times New Roman" w:cs="Times New Roman"/>
          <w:sz w:val="24"/>
          <w:szCs w:val="24"/>
        </w:rPr>
        <w:t xml:space="preserve">and share it with </w:t>
      </w:r>
      <w:r w:rsidR="00823F21" w:rsidRPr="00E51B0D">
        <w:rPr>
          <w:rFonts w:ascii="Times New Roman" w:hAnsi="Times New Roman" w:cs="Times New Roman"/>
          <w:sz w:val="24"/>
          <w:szCs w:val="24"/>
        </w:rPr>
        <w:t xml:space="preserve">their </w:t>
      </w:r>
      <w:r w:rsidRPr="00E51B0D">
        <w:rPr>
          <w:rFonts w:ascii="Times New Roman" w:hAnsi="Times New Roman" w:cs="Times New Roman"/>
          <w:sz w:val="24"/>
          <w:szCs w:val="24"/>
        </w:rPr>
        <w:t xml:space="preserve">classmates and </w:t>
      </w:r>
      <w:r w:rsidR="00823F21" w:rsidRPr="00E51B0D">
        <w:rPr>
          <w:rFonts w:ascii="Times New Roman" w:hAnsi="Times New Roman" w:cs="Times New Roman"/>
          <w:sz w:val="24"/>
          <w:szCs w:val="24"/>
        </w:rPr>
        <w:t xml:space="preserve">the </w:t>
      </w:r>
      <w:r w:rsidR="00E51B0D" w:rsidRPr="00E51B0D">
        <w:rPr>
          <w:rFonts w:ascii="Times New Roman" w:hAnsi="Times New Roman" w:cs="Times New Roman"/>
          <w:sz w:val="24"/>
          <w:szCs w:val="24"/>
        </w:rPr>
        <w:t>instructor.</w:t>
      </w:r>
      <w:r w:rsidRPr="00E51B0D">
        <w:rPr>
          <w:rFonts w:ascii="Times New Roman" w:hAnsi="Times New Roman" w:cs="Times New Roman"/>
          <w:sz w:val="24"/>
          <w:szCs w:val="24"/>
        </w:rPr>
        <w:t xml:space="preserve"> The </w:t>
      </w:r>
      <w:r w:rsidR="00C029B9" w:rsidRPr="00E51B0D">
        <w:rPr>
          <w:rFonts w:ascii="Times New Roman" w:hAnsi="Times New Roman" w:cs="Times New Roman"/>
          <w:sz w:val="24"/>
          <w:szCs w:val="24"/>
        </w:rPr>
        <w:t>questions</w:t>
      </w:r>
      <w:r w:rsidRPr="00E51B0D">
        <w:rPr>
          <w:rFonts w:ascii="Times New Roman" w:hAnsi="Times New Roman" w:cs="Times New Roman"/>
          <w:sz w:val="24"/>
          <w:szCs w:val="24"/>
        </w:rPr>
        <w:t xml:space="preserve"> and due dates will be available on Canvas. </w:t>
      </w:r>
    </w:p>
    <w:p w14:paraId="760004C8" w14:textId="2D849428" w:rsidR="00C029B9" w:rsidRPr="00E51B0D" w:rsidRDefault="00FC4094" w:rsidP="00BB3B3C">
      <w:pPr>
        <w:spacing w:after="0" w:line="240" w:lineRule="auto"/>
        <w:ind w:left="720"/>
        <w:rPr>
          <w:rFonts w:ascii="Times New Roman" w:hAnsi="Times New Roman" w:cs="Times New Roman"/>
          <w:sz w:val="24"/>
          <w:szCs w:val="24"/>
        </w:rPr>
      </w:pPr>
      <w:r w:rsidRPr="00E51B0D">
        <w:rPr>
          <w:rFonts w:ascii="Times New Roman" w:hAnsi="Times New Roman" w:cs="Times New Roman"/>
          <w:i/>
          <w:iCs/>
          <w:sz w:val="24"/>
          <w:szCs w:val="24"/>
        </w:rPr>
        <w:lastRenderedPageBreak/>
        <w:t>Final Assignment</w:t>
      </w:r>
      <w:r w:rsidRPr="00391C1B">
        <w:rPr>
          <w:rFonts w:ascii="Times New Roman" w:hAnsi="Times New Roman" w:cs="Times New Roman"/>
          <w:sz w:val="24"/>
          <w:szCs w:val="24"/>
        </w:rPr>
        <w:t xml:space="preserve">: </w:t>
      </w:r>
      <w:r w:rsidRPr="00E51B0D">
        <w:rPr>
          <w:rFonts w:ascii="Times New Roman" w:hAnsi="Times New Roman" w:cs="Times New Roman"/>
          <w:sz w:val="24"/>
          <w:szCs w:val="24"/>
        </w:rPr>
        <w:t>A 3-page double-spaced essay due on April 26</w:t>
      </w:r>
      <w:r w:rsidR="00823F21" w:rsidRPr="00E51B0D">
        <w:rPr>
          <w:rFonts w:ascii="Times New Roman" w:hAnsi="Times New Roman" w:cs="Times New Roman"/>
          <w:sz w:val="24"/>
          <w:szCs w:val="24"/>
          <w:vertAlign w:val="superscript"/>
        </w:rPr>
        <w:t>th</w:t>
      </w:r>
      <w:r w:rsidR="00391C1B">
        <w:rPr>
          <w:rFonts w:ascii="Times New Roman" w:hAnsi="Times New Roman" w:cs="Times New Roman"/>
          <w:sz w:val="24"/>
          <w:szCs w:val="24"/>
          <w:vertAlign w:val="superscript"/>
        </w:rPr>
        <w:t>.</w:t>
      </w:r>
      <w:r w:rsidR="00391C1B">
        <w:rPr>
          <w:rFonts w:ascii="Times New Roman" w:hAnsi="Times New Roman" w:cs="Times New Roman"/>
          <w:sz w:val="24"/>
          <w:szCs w:val="24"/>
        </w:rPr>
        <w:t xml:space="preserve"> </w:t>
      </w:r>
      <w:r w:rsidR="00823F21" w:rsidRPr="00E51B0D">
        <w:rPr>
          <w:rFonts w:ascii="Times New Roman" w:hAnsi="Times New Roman" w:cs="Times New Roman"/>
          <w:sz w:val="24"/>
          <w:szCs w:val="24"/>
        </w:rPr>
        <w:t>T</w:t>
      </w:r>
      <w:r w:rsidR="00C029B9" w:rsidRPr="00E51B0D">
        <w:rPr>
          <w:rFonts w:ascii="Times New Roman" w:hAnsi="Times New Roman" w:cs="Times New Roman"/>
          <w:sz w:val="24"/>
          <w:szCs w:val="24"/>
        </w:rPr>
        <w:t>ask for this assignment is to pick a public health interest in one of the topics/issues discussed in class or through assigned readings</w:t>
      </w:r>
      <w:r w:rsidR="00823F21" w:rsidRPr="00E51B0D">
        <w:rPr>
          <w:rFonts w:ascii="Times New Roman" w:hAnsi="Times New Roman" w:cs="Times New Roman"/>
          <w:sz w:val="24"/>
          <w:szCs w:val="24"/>
        </w:rPr>
        <w:t>, d</w:t>
      </w:r>
      <w:r w:rsidR="00C029B9" w:rsidRPr="00E51B0D">
        <w:rPr>
          <w:rFonts w:ascii="Times New Roman" w:hAnsi="Times New Roman" w:cs="Times New Roman"/>
          <w:sz w:val="24"/>
          <w:szCs w:val="24"/>
        </w:rPr>
        <w:t>evelop a strategy to address the topic or issue</w:t>
      </w:r>
      <w:r w:rsidR="00823F21" w:rsidRPr="00E51B0D">
        <w:rPr>
          <w:rFonts w:ascii="Times New Roman" w:hAnsi="Times New Roman" w:cs="Times New Roman"/>
          <w:sz w:val="24"/>
          <w:szCs w:val="24"/>
        </w:rPr>
        <w:t>/topic</w:t>
      </w:r>
      <w:r w:rsidR="00C029B9" w:rsidRPr="00E51B0D">
        <w:rPr>
          <w:rFonts w:ascii="Times New Roman" w:hAnsi="Times New Roman" w:cs="Times New Roman"/>
          <w:sz w:val="24"/>
          <w:szCs w:val="24"/>
        </w:rPr>
        <w:t xml:space="preserve"> selected</w:t>
      </w:r>
      <w:r w:rsidR="00823F21" w:rsidRPr="00E51B0D">
        <w:rPr>
          <w:rFonts w:ascii="Times New Roman" w:hAnsi="Times New Roman" w:cs="Times New Roman"/>
          <w:sz w:val="24"/>
          <w:szCs w:val="24"/>
        </w:rPr>
        <w:t xml:space="preserve"> by the student</w:t>
      </w:r>
      <w:r w:rsidR="00C029B9" w:rsidRPr="00E51B0D">
        <w:rPr>
          <w:rFonts w:ascii="Times New Roman" w:hAnsi="Times New Roman" w:cs="Times New Roman"/>
          <w:sz w:val="24"/>
          <w:szCs w:val="24"/>
        </w:rPr>
        <w:t xml:space="preserve">. </w:t>
      </w:r>
      <w:r w:rsidR="00391C1B">
        <w:rPr>
          <w:rFonts w:ascii="Times New Roman" w:hAnsi="Times New Roman" w:cs="Times New Roman"/>
          <w:sz w:val="24"/>
          <w:szCs w:val="24"/>
        </w:rPr>
        <w:t>E</w:t>
      </w:r>
      <w:r w:rsidR="00C70F4E" w:rsidRPr="00E51B0D">
        <w:rPr>
          <w:rFonts w:ascii="Times New Roman" w:hAnsi="Times New Roman" w:cs="Times New Roman"/>
          <w:sz w:val="24"/>
          <w:szCs w:val="24"/>
        </w:rPr>
        <w:t>ach student</w:t>
      </w:r>
      <w:r w:rsidR="00C029B9" w:rsidRPr="00E51B0D">
        <w:rPr>
          <w:rFonts w:ascii="Times New Roman" w:hAnsi="Times New Roman" w:cs="Times New Roman"/>
          <w:sz w:val="24"/>
          <w:szCs w:val="24"/>
        </w:rPr>
        <w:t xml:space="preserve"> </w:t>
      </w:r>
      <w:r w:rsidR="00E133F6" w:rsidRPr="00E51B0D">
        <w:rPr>
          <w:rFonts w:ascii="Times New Roman" w:hAnsi="Times New Roman" w:cs="Times New Roman"/>
          <w:sz w:val="24"/>
          <w:szCs w:val="24"/>
        </w:rPr>
        <w:t xml:space="preserve">must produce a short proposal of </w:t>
      </w:r>
      <w:r w:rsidR="00E51B0D" w:rsidRPr="00E51B0D">
        <w:rPr>
          <w:rFonts w:ascii="Times New Roman" w:hAnsi="Times New Roman" w:cs="Times New Roman"/>
          <w:sz w:val="24"/>
          <w:szCs w:val="24"/>
        </w:rPr>
        <w:t>their plan</w:t>
      </w:r>
      <w:r w:rsidR="00E133F6" w:rsidRPr="00E51B0D">
        <w:rPr>
          <w:rFonts w:ascii="Times New Roman" w:hAnsi="Times New Roman" w:cs="Times New Roman"/>
          <w:sz w:val="24"/>
          <w:szCs w:val="24"/>
        </w:rPr>
        <w:t>.</w:t>
      </w:r>
    </w:p>
    <w:p w14:paraId="3579B1C4" w14:textId="77777777" w:rsidR="00832967" w:rsidRDefault="00832967" w:rsidP="00BB3B3C">
      <w:pPr>
        <w:spacing w:after="0" w:line="240" w:lineRule="auto"/>
        <w:rPr>
          <w:rFonts w:ascii="Times New Roman" w:hAnsi="Times New Roman" w:cs="Times New Roman"/>
          <w:b/>
          <w:bCs/>
          <w:sz w:val="24"/>
          <w:szCs w:val="24"/>
        </w:rPr>
      </w:pPr>
    </w:p>
    <w:p w14:paraId="45398105" w14:textId="7F247A6D" w:rsidR="00E133F6" w:rsidRPr="00E51B0D" w:rsidRDefault="00C029B9" w:rsidP="00BB3B3C">
      <w:pPr>
        <w:spacing w:after="0" w:line="240" w:lineRule="auto"/>
        <w:rPr>
          <w:rFonts w:ascii="Times New Roman" w:hAnsi="Times New Roman" w:cs="Times New Roman"/>
          <w:sz w:val="24"/>
          <w:szCs w:val="24"/>
        </w:rPr>
      </w:pPr>
      <w:r w:rsidRPr="00E51B0D">
        <w:rPr>
          <w:rFonts w:ascii="Times New Roman" w:hAnsi="Times New Roman" w:cs="Times New Roman"/>
          <w:b/>
          <w:bCs/>
          <w:sz w:val="24"/>
          <w:szCs w:val="24"/>
        </w:rPr>
        <w:t>Grades:</w:t>
      </w:r>
      <w:r w:rsidRPr="00E51B0D">
        <w:rPr>
          <w:rFonts w:ascii="Times New Roman" w:hAnsi="Times New Roman" w:cs="Times New Roman"/>
          <w:sz w:val="24"/>
          <w:szCs w:val="24"/>
        </w:rPr>
        <w:t xml:space="preserve"> </w:t>
      </w:r>
    </w:p>
    <w:p w14:paraId="7D101982" w14:textId="20A007A1" w:rsidR="00C029B9" w:rsidRDefault="00C029B9" w:rsidP="00BB3B3C">
      <w:pPr>
        <w:spacing w:after="0" w:line="240" w:lineRule="auto"/>
        <w:ind w:left="720"/>
        <w:rPr>
          <w:rFonts w:ascii="Times New Roman" w:hAnsi="Times New Roman" w:cs="Times New Roman"/>
          <w:sz w:val="24"/>
          <w:szCs w:val="24"/>
        </w:rPr>
      </w:pPr>
      <w:r w:rsidRPr="00E51B0D">
        <w:rPr>
          <w:rFonts w:ascii="Times New Roman" w:hAnsi="Times New Roman" w:cs="Times New Roman"/>
          <w:sz w:val="24"/>
          <w:szCs w:val="24"/>
        </w:rPr>
        <w:t xml:space="preserve">This </w:t>
      </w:r>
      <w:r w:rsidR="00C70F4E" w:rsidRPr="00E51B0D">
        <w:rPr>
          <w:rFonts w:ascii="Times New Roman" w:hAnsi="Times New Roman" w:cs="Times New Roman"/>
          <w:sz w:val="24"/>
          <w:szCs w:val="24"/>
        </w:rPr>
        <w:t xml:space="preserve">is a Pass/Fail </w:t>
      </w:r>
      <w:r w:rsidR="00E51B0D" w:rsidRPr="00E51B0D">
        <w:rPr>
          <w:rFonts w:ascii="Times New Roman" w:hAnsi="Times New Roman" w:cs="Times New Roman"/>
          <w:sz w:val="24"/>
          <w:szCs w:val="24"/>
        </w:rPr>
        <w:t>class.</w:t>
      </w:r>
      <w:r w:rsidRPr="00E51B0D">
        <w:rPr>
          <w:rFonts w:ascii="Times New Roman" w:hAnsi="Times New Roman" w:cs="Times New Roman"/>
          <w:sz w:val="24"/>
          <w:szCs w:val="24"/>
        </w:rPr>
        <w:t xml:space="preserve"> To pass this course, students are expected to complete all assignments and attend all sessions.</w:t>
      </w:r>
    </w:p>
    <w:p w14:paraId="3651810F" w14:textId="6FD0E08E" w:rsidR="00BB3B3C" w:rsidRDefault="00BB3B3C" w:rsidP="002A5D0C">
      <w:pPr>
        <w:spacing w:after="0" w:line="480" w:lineRule="auto"/>
        <w:ind w:left="720"/>
        <w:rPr>
          <w:rFonts w:ascii="Times New Roman" w:hAnsi="Times New Roman" w:cs="Times New Roman"/>
          <w:sz w:val="24"/>
          <w:szCs w:val="24"/>
        </w:rPr>
      </w:pPr>
    </w:p>
    <w:p w14:paraId="2E2C9AAF"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 xml:space="preserve">Academic Integrity Policy </w:t>
      </w:r>
    </w:p>
    <w:p w14:paraId="0037003F"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Students in this course will be expected to comply with the </w:t>
      </w:r>
      <w:hyperlink r:id="rId8" w:tgtFrame="_blank" w:tooltip="University of Pittsburgh Policy on Academic Integrity" w:history="1">
        <w:r w:rsidRPr="0065370A">
          <w:rPr>
            <w:rStyle w:val="Hyperlink"/>
            <w:rFonts w:ascii="Times New Roman" w:hAnsi="Times New Roman" w:cs="Times New Roman"/>
            <w:sz w:val="24"/>
            <w:szCs w:val="24"/>
          </w:rPr>
          <w:t>University of Pittsburgh’s Policy on Academic Integrity</w:t>
        </w:r>
      </w:hyperlink>
      <w:r w:rsidRPr="0065370A">
        <w:rPr>
          <w:rFonts w:ascii="Times New Roman" w:hAnsi="Times New Roman" w:cs="Times New Roman"/>
          <w:color w:val="000000" w:themeColor="text1"/>
          <w:sz w:val="24"/>
          <w:szCs w:val="24"/>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r>
        <w:rPr>
          <w:rFonts w:ascii="Times New Roman" w:hAnsi="Times New Roman" w:cs="Times New Roman"/>
          <w:color w:val="000000" w:themeColor="text1"/>
          <w:sz w:val="24"/>
          <w:szCs w:val="24"/>
        </w:rPr>
        <w:t xml:space="preserve"> </w:t>
      </w:r>
      <w:r w:rsidRPr="0065370A">
        <w:rPr>
          <w:rFonts w:ascii="Times New Roman" w:hAnsi="Times New Roman" w:cs="Times New Roman"/>
          <w:color w:val="000000" w:themeColor="text1"/>
          <w:sz w:val="24"/>
          <w:szCs w:val="24"/>
        </w:rPr>
        <w:t>To learn more about Academic Integrity, visit the </w:t>
      </w:r>
      <w:hyperlink r:id="rId9" w:tgtFrame="_blank" w:history="1">
        <w:r w:rsidRPr="0065370A">
          <w:rPr>
            <w:rStyle w:val="Hyperlink"/>
            <w:rFonts w:ascii="Times New Roman" w:hAnsi="Times New Roman" w:cs="Times New Roman"/>
            <w:sz w:val="24"/>
            <w:szCs w:val="24"/>
          </w:rPr>
          <w:t>Academic Integrity Guide</w:t>
        </w:r>
      </w:hyperlink>
      <w:r w:rsidRPr="0065370A">
        <w:rPr>
          <w:rFonts w:ascii="Times New Roman" w:hAnsi="Times New Roman" w:cs="Times New Roman"/>
          <w:color w:val="000000" w:themeColor="text1"/>
          <w:sz w:val="24"/>
          <w:szCs w:val="24"/>
        </w:rPr>
        <w:t> for an overview of the topic. For hands-on practice, complete the </w:t>
      </w:r>
      <w:hyperlink r:id="rId10" w:tgtFrame="_blank" w:history="1">
        <w:r w:rsidRPr="0065370A">
          <w:rPr>
            <w:rStyle w:val="Hyperlink"/>
            <w:rFonts w:ascii="Times New Roman" w:hAnsi="Times New Roman" w:cs="Times New Roman"/>
            <w:sz w:val="24"/>
            <w:szCs w:val="24"/>
          </w:rPr>
          <w:t>Understanding and Avoiding Plagiarism tutorial</w:t>
        </w:r>
      </w:hyperlink>
      <w:r w:rsidRPr="0065370A">
        <w:rPr>
          <w:rFonts w:ascii="Times New Roman" w:hAnsi="Times New Roman" w:cs="Times New Roman"/>
          <w:color w:val="000000" w:themeColor="text1"/>
          <w:sz w:val="24"/>
          <w:szCs w:val="24"/>
        </w:rPr>
        <w:t xml:space="preserve">. </w:t>
      </w:r>
    </w:p>
    <w:p w14:paraId="59112E1A"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color w:val="000000" w:themeColor="text1"/>
          <w:sz w:val="24"/>
          <w:szCs w:val="24"/>
        </w:rPr>
      </w:pPr>
    </w:p>
    <w:p w14:paraId="032284A6"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 xml:space="preserve">Disability Services Policy </w:t>
      </w:r>
    </w:p>
    <w:p w14:paraId="5E479710"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If you have a disability for which you are or may be requesting an accommodation, you are encouraged to contact both your instructor and </w:t>
      </w:r>
      <w:hyperlink r:id="rId11" w:tgtFrame="_blank" w:tooltip="Disability Resources and Services" w:history="1">
        <w:r w:rsidRPr="0065370A">
          <w:rPr>
            <w:rStyle w:val="Hyperlink"/>
            <w:rFonts w:ascii="Times New Roman" w:hAnsi="Times New Roman" w:cs="Times New Roman"/>
            <w:sz w:val="24"/>
            <w:szCs w:val="24"/>
          </w:rPr>
          <w:t>Disability Resources and Services</w:t>
        </w:r>
      </w:hyperlink>
      <w:r w:rsidRPr="0065370A">
        <w:rPr>
          <w:rFonts w:ascii="Times New Roman" w:hAnsi="Times New Roman" w:cs="Times New Roman"/>
          <w:color w:val="000000" w:themeColor="text1"/>
          <w:sz w:val="24"/>
          <w:szCs w:val="24"/>
        </w:rPr>
        <w:t> (DRS), 140 William Pitt Union, (412) 648-7890, </w:t>
      </w:r>
      <w:hyperlink r:id="rId12" w:history="1">
        <w:r w:rsidRPr="0065370A">
          <w:rPr>
            <w:rStyle w:val="Hyperlink"/>
            <w:rFonts w:ascii="Times New Roman" w:hAnsi="Times New Roman" w:cs="Times New Roman"/>
            <w:sz w:val="24"/>
            <w:szCs w:val="24"/>
          </w:rPr>
          <w:t>drsrecep@pitt.edu</w:t>
        </w:r>
      </w:hyperlink>
      <w:r w:rsidRPr="0065370A">
        <w:rPr>
          <w:rFonts w:ascii="Times New Roman" w:hAnsi="Times New Roman" w:cs="Times New Roman"/>
          <w:color w:val="000000" w:themeColor="text1"/>
          <w:sz w:val="24"/>
          <w:szCs w:val="24"/>
        </w:rPr>
        <w:t>, (412) 228-5347 for P3 ASL users, as early as possible in the term. DRS will verify your disability and determine reasonable accommodations for this course.</w:t>
      </w:r>
    </w:p>
    <w:p w14:paraId="7B7B3AF2"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p>
    <w:p w14:paraId="4191499B"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 xml:space="preserve">Statement on Classroom Recording </w:t>
      </w:r>
    </w:p>
    <w:p w14:paraId="7DC1842A"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 xml:space="preserve">To ensure the free and open discussion of ideas, students may not record classroom lectures, discussion and/or activities without the advance written permission of the instructor, and any such recording properly approved in advance can be used solely for the student’s own private use. According to the Pitt Policy, “In order to facilitate the free exchange of ideas during lectures, if a faculty member intends to record their lecture with student participation, they must advise the students, via e-mail and at the beginning of the lecture, that the lecture, including their participation, is being recorded. Students should not be required to participate in the recorded conversation and should be encouraged to ask questions off-line. Further, the recorded lecture may be used by the faculty member and the registered students only for internal class purposes and only during the term in which the course is being offered. Faculty who have questions should contact </w:t>
      </w:r>
      <w:hyperlink r:id="rId13">
        <w:r w:rsidRPr="0065370A">
          <w:rPr>
            <w:rFonts w:ascii="Times New Roman" w:hAnsi="Times New Roman" w:cs="Times New Roman"/>
            <w:color w:val="000000" w:themeColor="text1"/>
            <w:sz w:val="24"/>
            <w:szCs w:val="24"/>
          </w:rPr>
          <w:t>faculty@pitt.edu</w:t>
        </w:r>
      </w:hyperlink>
      <w:r w:rsidRPr="0065370A">
        <w:rPr>
          <w:rFonts w:ascii="Times New Roman" w:hAnsi="Times New Roman" w:cs="Times New Roman"/>
          <w:color w:val="000000" w:themeColor="text1"/>
          <w:sz w:val="24"/>
          <w:szCs w:val="24"/>
        </w:rPr>
        <w:t xml:space="preserve">. Consult the University policies for additional information on copyright.” </w:t>
      </w:r>
    </w:p>
    <w:p w14:paraId="03F83CB1" w14:textId="77777777" w:rsidR="00BB3B3C" w:rsidRPr="0065370A" w:rsidRDefault="00BB3B3C" w:rsidP="00BB3B3C">
      <w:pPr>
        <w:autoSpaceDE w:val="0"/>
        <w:autoSpaceDN w:val="0"/>
        <w:adjustRightInd w:val="0"/>
        <w:spacing w:after="0" w:line="240" w:lineRule="auto"/>
        <w:ind w:right="-360"/>
        <w:rPr>
          <w:rFonts w:ascii="Times New Roman" w:hAnsi="Times New Roman" w:cs="Times New Roman"/>
          <w:color w:val="000000" w:themeColor="text1"/>
          <w:sz w:val="24"/>
          <w:szCs w:val="24"/>
        </w:rPr>
      </w:pPr>
    </w:p>
    <w:p w14:paraId="653D0879"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 xml:space="preserve">According to the Digital Media Law Project, Pennsylvania's recording law is a </w:t>
      </w:r>
      <w:hyperlink r:id="rId14">
        <w:r w:rsidRPr="0065370A">
          <w:rPr>
            <w:rFonts w:ascii="Times New Roman" w:hAnsi="Times New Roman" w:cs="Times New Roman"/>
            <w:color w:val="000000" w:themeColor="text1"/>
            <w:sz w:val="24"/>
            <w:szCs w:val="24"/>
          </w:rPr>
          <w:t>"two-party consent" law</w:t>
        </w:r>
      </w:hyperlink>
      <w:r w:rsidRPr="0065370A">
        <w:rPr>
          <w:rFonts w:ascii="Times New Roman" w:hAnsi="Times New Roman" w:cs="Times New Roman"/>
          <w:color w:val="000000" w:themeColor="text1"/>
          <w:sz w:val="24"/>
          <w:szCs w:val="24"/>
        </w:rPr>
        <w:t xml:space="preserve">. “The law does not cover oral communications when the speakers do not </w:t>
      </w:r>
      <w:r w:rsidRPr="0065370A">
        <w:rPr>
          <w:rFonts w:ascii="Times New Roman" w:hAnsi="Times New Roman" w:cs="Times New Roman"/>
          <w:color w:val="000000" w:themeColor="text1"/>
          <w:sz w:val="24"/>
          <w:szCs w:val="24"/>
        </w:rPr>
        <w:lastRenderedPageBreak/>
        <w:t xml:space="preserve">have an "expectation that such communication is not subject to interception under circumstances justifying such expectation." See </w:t>
      </w:r>
      <w:hyperlink r:id="rId15">
        <w:r w:rsidRPr="0065370A">
          <w:rPr>
            <w:rFonts w:ascii="Times New Roman" w:hAnsi="Times New Roman" w:cs="Times New Roman"/>
            <w:color w:val="000000" w:themeColor="text1"/>
            <w:sz w:val="24"/>
            <w:szCs w:val="24"/>
          </w:rPr>
          <w:t>18 Pa. Cons. Stat. § 5702</w:t>
        </w:r>
      </w:hyperlink>
      <w:r w:rsidRPr="0065370A">
        <w:rPr>
          <w:rFonts w:ascii="Times New Roman" w:hAnsi="Times New Roman" w:cs="Times New Roman"/>
          <w:color w:val="000000" w:themeColor="text1"/>
          <w:sz w:val="24"/>
          <w:szCs w:val="24"/>
        </w:rPr>
        <w:t xml:space="preserve"> (link is to the entire code, choose Title 18, Part II, Article F, Chapter 57, Subchapter A, and then the specific provision). Therefore, you may be able to record in-person conversations occurring in a public place without consent. However, you should always get the consent of all parties before recording any conversation that common sense tells you is private.” </w:t>
      </w:r>
    </w:p>
    <w:p w14:paraId="717AF04E"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p>
    <w:p w14:paraId="1461E530"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Pitt policy suggests a reasonable expectation of privacy in the classroom space, so any recording of classmates or professor requires clear consent.</w:t>
      </w:r>
    </w:p>
    <w:p w14:paraId="0AA217DD"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In addition to subjecting you to criminal prosecution, violating the Pennsylvania wiretapping law can expose you to a civil lawsuit for damages by an injured party.</w:t>
      </w:r>
    </w:p>
    <w:p w14:paraId="077A4052"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p>
    <w:p w14:paraId="780244C1"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Copyright Notice</w:t>
      </w:r>
    </w:p>
    <w:p w14:paraId="0A149E72"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Course materials may be protected by copyright. United States copyright law, 17 USC section 101, et seq., in addition to University policy and procedures, prohibit unauthorized duplication or retransmission of course materials. See </w:t>
      </w:r>
      <w:hyperlink r:id="rId16" w:tgtFrame="_blank" w:tooltip="Library of Congress Copyright Office" w:history="1">
        <w:r w:rsidRPr="0065370A">
          <w:rPr>
            <w:rStyle w:val="Hyperlink"/>
            <w:rFonts w:ascii="Times New Roman" w:hAnsi="Times New Roman" w:cs="Times New Roman"/>
            <w:sz w:val="24"/>
            <w:szCs w:val="24"/>
          </w:rPr>
          <w:t>Library of Congress Copyright Office</w:t>
        </w:r>
      </w:hyperlink>
      <w:r w:rsidRPr="0065370A">
        <w:rPr>
          <w:rFonts w:ascii="Times New Roman" w:hAnsi="Times New Roman" w:cs="Times New Roman"/>
          <w:color w:val="000000" w:themeColor="text1"/>
          <w:sz w:val="24"/>
          <w:szCs w:val="24"/>
        </w:rPr>
        <w:t> and the </w:t>
      </w:r>
      <w:hyperlink r:id="rId17" w:tgtFrame="_blank" w:tooltip="University of Pittsburgh Copyright Policy" w:history="1">
        <w:r w:rsidRPr="0065370A">
          <w:rPr>
            <w:rStyle w:val="Hyperlink"/>
            <w:rFonts w:ascii="Times New Roman" w:hAnsi="Times New Roman" w:cs="Times New Roman"/>
            <w:sz w:val="24"/>
            <w:szCs w:val="24"/>
          </w:rPr>
          <w:t>University Copyright Policy</w:t>
        </w:r>
      </w:hyperlink>
      <w:r w:rsidRPr="0065370A">
        <w:rPr>
          <w:rFonts w:ascii="Times New Roman" w:hAnsi="Times New Roman" w:cs="Times New Roman"/>
          <w:color w:val="000000" w:themeColor="text1"/>
          <w:sz w:val="24"/>
          <w:szCs w:val="24"/>
        </w:rPr>
        <w:t>.</w:t>
      </w:r>
    </w:p>
    <w:p w14:paraId="540F387B"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p>
    <w:p w14:paraId="66F6A1F2"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Accessibility</w:t>
      </w:r>
    </w:p>
    <w:p w14:paraId="1EAFA3E6"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Canvas is ADA Compliant and has fully implemented the final accessibility standards for electronic and information technology covered by Section 508 of the Rehabilitation Act Amendments of 1998. Please note that, due to the flexibility provided in this product, it is possible for some material to inadvertently fall outside of these guidelines.</w:t>
      </w:r>
    </w:p>
    <w:p w14:paraId="532F6002"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p>
    <w:p w14:paraId="5B830212"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b/>
          <w:bCs/>
          <w:i/>
          <w:iCs/>
          <w:color w:val="000000" w:themeColor="text1"/>
          <w:sz w:val="24"/>
          <w:szCs w:val="24"/>
        </w:rPr>
      </w:pPr>
      <w:r w:rsidRPr="0065370A">
        <w:rPr>
          <w:rFonts w:ascii="Times New Roman" w:hAnsi="Times New Roman" w:cs="Times New Roman"/>
          <w:b/>
          <w:bCs/>
          <w:i/>
          <w:iCs/>
          <w:color w:val="000000" w:themeColor="text1"/>
          <w:sz w:val="24"/>
          <w:szCs w:val="24"/>
        </w:rPr>
        <w:t>Diversity and Inclusion Statement</w:t>
      </w:r>
    </w:p>
    <w:p w14:paraId="4BF3421B"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see: </w:t>
      </w:r>
      <w:hyperlink r:id="rId18" w:history="1">
        <w:r w:rsidRPr="0065370A">
          <w:rPr>
            <w:rStyle w:val="Hyperlink"/>
            <w:rFonts w:ascii="Times New Roman" w:hAnsi="Times New Roman" w:cs="Times New Roman"/>
            <w:b/>
            <w:bCs/>
            <w:sz w:val="24"/>
            <w:szCs w:val="24"/>
          </w:rPr>
          <w:t>http://diversity.pitt.edu/affirmative-action/policies-procedures-and-practices</w:t>
        </w:r>
      </w:hyperlink>
      <w:r w:rsidRPr="0065370A">
        <w:rPr>
          <w:rFonts w:ascii="Times New Roman" w:hAnsi="Times New Roman" w:cs="Times New Roman"/>
          <w:color w:val="000000" w:themeColor="text1"/>
          <w:sz w:val="24"/>
          <w:szCs w:val="24"/>
        </w:rPr>
        <w:t>.</w:t>
      </w:r>
    </w:p>
    <w:p w14:paraId="4E3BF048"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r w:rsidRPr="0065370A">
        <w:rPr>
          <w:rFonts w:ascii="Times New Roman" w:hAnsi="Times New Roman" w:cs="Times New Roman"/>
          <w:color w:val="000000" w:themeColor="text1"/>
          <w:sz w:val="24"/>
          <w:szCs w:val="24"/>
        </w:rPr>
        <w:t>I ask that everyone in the class strive to help ensure that other members of this class can learn in a supportive and respectful environment. If there are instances of the aforementioned issues, please contact the Title IX Coordinator, by calling 412-648-7860, or e-mailing </w:t>
      </w:r>
      <w:hyperlink r:id="rId19" w:history="1">
        <w:r w:rsidRPr="0065370A">
          <w:rPr>
            <w:rStyle w:val="Hyperlink"/>
            <w:rFonts w:ascii="Times New Roman" w:hAnsi="Times New Roman" w:cs="Times New Roman"/>
            <w:sz w:val="24"/>
            <w:szCs w:val="24"/>
          </w:rPr>
          <w:t>titleixcoordinator@pitt.edu</w:t>
        </w:r>
      </w:hyperlink>
      <w:r w:rsidRPr="0065370A">
        <w:rPr>
          <w:rFonts w:ascii="Times New Roman" w:hAnsi="Times New Roman" w:cs="Times New Roman"/>
          <w:color w:val="000000" w:themeColor="text1"/>
          <w:sz w:val="24"/>
          <w:szCs w:val="24"/>
        </w:rPr>
        <w:t>. Reports can also be filed online: </w:t>
      </w:r>
      <w:hyperlink r:id="rId20" w:history="1">
        <w:r w:rsidRPr="0065370A">
          <w:rPr>
            <w:rStyle w:val="Hyperlink"/>
            <w:rFonts w:ascii="Times New Roman" w:hAnsi="Times New Roman" w:cs="Times New Roman"/>
            <w:sz w:val="24"/>
            <w:szCs w:val="24"/>
          </w:rPr>
          <w:t>https://www.diversity.pitt.edu/make-report/report-form</w:t>
        </w:r>
      </w:hyperlink>
      <w:r w:rsidRPr="0065370A">
        <w:rPr>
          <w:rFonts w:ascii="Times New Roman" w:hAnsi="Times New Roman" w:cs="Times New Roman"/>
          <w:color w:val="000000" w:themeColor="text1"/>
          <w:sz w:val="24"/>
          <w:szCs w:val="24"/>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6C7DD844" w14:textId="77777777" w:rsidR="00BB3B3C" w:rsidRPr="0065370A" w:rsidRDefault="00BB3B3C" w:rsidP="00BB3B3C">
      <w:pPr>
        <w:autoSpaceDE w:val="0"/>
        <w:autoSpaceDN w:val="0"/>
        <w:adjustRightInd w:val="0"/>
        <w:spacing w:after="0" w:line="240" w:lineRule="auto"/>
        <w:ind w:left="1080" w:right="-360"/>
        <w:rPr>
          <w:rFonts w:ascii="Times New Roman" w:hAnsi="Times New Roman" w:cs="Times New Roman"/>
          <w:color w:val="000000" w:themeColor="text1"/>
          <w:sz w:val="24"/>
          <w:szCs w:val="24"/>
        </w:rPr>
      </w:pPr>
    </w:p>
    <w:p w14:paraId="22D058CF" w14:textId="77777777" w:rsidR="00BB3B3C" w:rsidRPr="0065370A" w:rsidRDefault="00BB3B3C" w:rsidP="00BB3B3C">
      <w:pPr>
        <w:autoSpaceDE w:val="0"/>
        <w:autoSpaceDN w:val="0"/>
        <w:adjustRightInd w:val="0"/>
        <w:spacing w:after="0" w:line="240" w:lineRule="auto"/>
        <w:ind w:left="1080" w:right="-360" w:hanging="1440"/>
        <w:rPr>
          <w:rFonts w:ascii="Times New Roman" w:hAnsi="Times New Roman" w:cs="Times New Roman"/>
          <w:color w:val="000000" w:themeColor="text1"/>
          <w:sz w:val="24"/>
          <w:szCs w:val="24"/>
        </w:rPr>
      </w:pPr>
    </w:p>
    <w:p w14:paraId="176FBD03" w14:textId="77777777" w:rsidR="00BB3B3C" w:rsidRDefault="00BB3B3C" w:rsidP="00BB3B3C">
      <w:pPr>
        <w:rPr>
          <w:rFonts w:ascii="Times New Roman" w:hAnsi="Times New Roman" w:cs="Times New Roman"/>
          <w:b/>
          <w:bCs/>
          <w:color w:val="000000" w:themeColor="text1"/>
          <w:sz w:val="24"/>
          <w:szCs w:val="24"/>
        </w:rPr>
      </w:pPr>
    </w:p>
    <w:p w14:paraId="6F29B847" w14:textId="77777777" w:rsidR="005A1F89" w:rsidRDefault="005A1F89">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1A9EC983" w14:textId="2ABB5146" w:rsidR="00391C1B" w:rsidRPr="00BB3B3C" w:rsidRDefault="00BB3B3C" w:rsidP="00BB3B3C">
      <w:pPr>
        <w:jc w:val="center"/>
        <w:rPr>
          <w:rFonts w:ascii="Times New Roman" w:hAnsi="Times New Roman" w:cs="Times New Roman"/>
          <w:b/>
          <w:bCs/>
          <w:color w:val="000000" w:themeColor="text1"/>
          <w:sz w:val="24"/>
          <w:szCs w:val="24"/>
        </w:rPr>
      </w:pPr>
      <w:r w:rsidRPr="0065370A">
        <w:rPr>
          <w:rFonts w:ascii="Times New Roman" w:hAnsi="Times New Roman" w:cs="Times New Roman"/>
          <w:b/>
          <w:bCs/>
          <w:color w:val="000000" w:themeColor="text1"/>
          <w:sz w:val="24"/>
          <w:szCs w:val="24"/>
        </w:rPr>
        <w:lastRenderedPageBreak/>
        <w:t>COURSE SCHEDULE</w:t>
      </w:r>
    </w:p>
    <w:tbl>
      <w:tblPr>
        <w:tblStyle w:val="LightShading-Accent3"/>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525"/>
      </w:tblGrid>
      <w:tr w:rsidR="00832967" w:rsidRPr="00CB3A3A" w14:paraId="03FCCC38" w14:textId="77777777" w:rsidTr="00BB3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03208F7F" w14:textId="77777777" w:rsidR="00832967" w:rsidRPr="00CB3A3A" w:rsidRDefault="00832967" w:rsidP="00832967">
            <w:pPr>
              <w:jc w:val="center"/>
              <w:rPr>
                <w:b w:val="0"/>
                <w:color w:val="auto"/>
                <w:sz w:val="24"/>
                <w:szCs w:val="24"/>
              </w:rPr>
            </w:pPr>
          </w:p>
          <w:p w14:paraId="132DBDD3" w14:textId="71F1EC77" w:rsidR="00832967" w:rsidRPr="00CB3A3A" w:rsidRDefault="00BB3B3C" w:rsidP="00832967">
            <w:pPr>
              <w:jc w:val="center"/>
              <w:rPr>
                <w:color w:val="auto"/>
                <w:sz w:val="24"/>
                <w:szCs w:val="24"/>
              </w:rPr>
            </w:pPr>
            <w:r>
              <w:rPr>
                <w:color w:val="auto"/>
                <w:sz w:val="24"/>
                <w:szCs w:val="24"/>
              </w:rPr>
              <w:t>Spring</w:t>
            </w:r>
          </w:p>
          <w:p w14:paraId="5CD81474" w14:textId="77777777" w:rsidR="00832967" w:rsidRPr="00CB3A3A" w:rsidRDefault="00832967" w:rsidP="00832967">
            <w:pPr>
              <w:jc w:val="center"/>
              <w:rPr>
                <w:b w:val="0"/>
                <w:color w:val="auto"/>
                <w:sz w:val="24"/>
                <w:szCs w:val="24"/>
              </w:rPr>
            </w:pPr>
            <w:r w:rsidRPr="00CB3A3A">
              <w:rPr>
                <w:color w:val="auto"/>
                <w:sz w:val="24"/>
                <w:szCs w:val="24"/>
              </w:rPr>
              <w:t>2021</w:t>
            </w:r>
          </w:p>
        </w:tc>
        <w:tc>
          <w:tcPr>
            <w:tcW w:w="7525"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68959DF3" w14:textId="77777777" w:rsidR="00832967" w:rsidRPr="00CB3A3A" w:rsidRDefault="00832967" w:rsidP="00832967">
            <w:pPr>
              <w:cnfStyle w:val="100000000000" w:firstRow="1" w:lastRow="0" w:firstColumn="0" w:lastColumn="0" w:oddVBand="0" w:evenVBand="0" w:oddHBand="0" w:evenHBand="0" w:firstRowFirstColumn="0" w:firstRowLastColumn="0" w:lastRowFirstColumn="0" w:lastRowLastColumn="0"/>
              <w:rPr>
                <w:color w:val="auto"/>
                <w:sz w:val="24"/>
                <w:szCs w:val="24"/>
              </w:rPr>
            </w:pPr>
          </w:p>
          <w:p w14:paraId="4ED95E20" w14:textId="5997779E" w:rsidR="00832967" w:rsidRPr="00CB3A3A" w:rsidRDefault="00832967" w:rsidP="00832967">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CB3A3A">
              <w:rPr>
                <w:color w:val="auto"/>
                <w:sz w:val="24"/>
                <w:szCs w:val="24"/>
              </w:rPr>
              <w:t>T</w:t>
            </w:r>
            <w:r w:rsidR="00BB3B3C">
              <w:rPr>
                <w:color w:val="auto"/>
                <w:sz w:val="24"/>
                <w:szCs w:val="24"/>
              </w:rPr>
              <w:t>opics</w:t>
            </w:r>
          </w:p>
        </w:tc>
      </w:tr>
      <w:tr w:rsidR="00832967" w:rsidRPr="00CB3A3A" w14:paraId="4C761869" w14:textId="77777777" w:rsidTr="00832967">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1433249D" w14:textId="77777777" w:rsidR="00832967" w:rsidRPr="00812439" w:rsidRDefault="00832967" w:rsidP="00832967">
            <w:pPr>
              <w:jc w:val="center"/>
              <w:rPr>
                <w:bCs w:val="0"/>
                <w:color w:val="auto"/>
                <w:sz w:val="24"/>
                <w:szCs w:val="24"/>
              </w:rPr>
            </w:pPr>
            <w:r w:rsidRPr="00812439">
              <w:rPr>
                <w:bCs w:val="0"/>
                <w:color w:val="auto"/>
                <w:sz w:val="24"/>
                <w:szCs w:val="24"/>
              </w:rPr>
              <w:t>Week 1</w:t>
            </w:r>
          </w:p>
          <w:p w14:paraId="09104B38"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51224EF4" w14:textId="77777777" w:rsidR="00832967" w:rsidRPr="00CB3A3A" w:rsidRDefault="00832967" w:rsidP="00832967">
            <w:pPr>
              <w:cnfStyle w:val="000000100000" w:firstRow="0" w:lastRow="0" w:firstColumn="0" w:lastColumn="0" w:oddVBand="0" w:evenVBand="0" w:oddHBand="1" w:evenHBand="0" w:firstRowFirstColumn="0" w:firstRowLastColumn="0" w:lastRowFirstColumn="0" w:lastRowLastColumn="0"/>
              <w:rPr>
                <w:color w:val="auto"/>
                <w:sz w:val="24"/>
                <w:szCs w:val="24"/>
              </w:rPr>
            </w:pPr>
          </w:p>
          <w:p w14:paraId="2C3BB58B"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Introduction to Course/Overview of COVID Statistics</w:t>
            </w:r>
          </w:p>
          <w:p w14:paraId="09B0533E" w14:textId="77777777" w:rsidR="00832967" w:rsidRPr="00CB3A3A" w:rsidRDefault="00832967" w:rsidP="00832967">
            <w:pPr>
              <w:pStyle w:val="ListParagraph"/>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832967" w:rsidRPr="00CB3A3A" w14:paraId="5C1E2DB5"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69935865" w14:textId="77777777" w:rsidR="00832967" w:rsidRPr="00812439" w:rsidRDefault="00832967" w:rsidP="00832967">
            <w:pPr>
              <w:jc w:val="center"/>
              <w:rPr>
                <w:bCs w:val="0"/>
                <w:color w:val="auto"/>
                <w:sz w:val="24"/>
                <w:szCs w:val="24"/>
              </w:rPr>
            </w:pPr>
            <w:r w:rsidRPr="00812439">
              <w:rPr>
                <w:bCs w:val="0"/>
                <w:color w:val="auto"/>
                <w:sz w:val="24"/>
                <w:szCs w:val="24"/>
              </w:rPr>
              <w:t>Week 2</w:t>
            </w:r>
          </w:p>
          <w:p w14:paraId="54B31C3E" w14:textId="77777777" w:rsidR="00832967" w:rsidRPr="00812439" w:rsidRDefault="00832967" w:rsidP="00832967">
            <w:pPr>
              <w:jc w:val="center"/>
              <w:rPr>
                <w:bCs w:val="0"/>
                <w:color w:val="auto"/>
                <w:sz w:val="24"/>
                <w:szCs w:val="24"/>
              </w:rPr>
            </w:pPr>
          </w:p>
        </w:tc>
        <w:tc>
          <w:tcPr>
            <w:tcW w:w="7525" w:type="dxa"/>
          </w:tcPr>
          <w:p w14:paraId="764F5288"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The Race GAP: Black// White. Reuters Graphics</w:t>
            </w:r>
          </w:p>
        </w:tc>
      </w:tr>
      <w:tr w:rsidR="00832967" w:rsidRPr="00CB3A3A" w14:paraId="16E58B98" w14:textId="77777777" w:rsidTr="0083296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0CCC4DCD" w14:textId="77777777" w:rsidR="00832967" w:rsidRPr="00812439" w:rsidRDefault="00832967" w:rsidP="00832967">
            <w:pPr>
              <w:jc w:val="center"/>
              <w:rPr>
                <w:bCs w:val="0"/>
                <w:color w:val="auto"/>
                <w:sz w:val="24"/>
                <w:szCs w:val="24"/>
              </w:rPr>
            </w:pPr>
            <w:r w:rsidRPr="00812439">
              <w:rPr>
                <w:bCs w:val="0"/>
                <w:color w:val="auto"/>
                <w:sz w:val="24"/>
                <w:szCs w:val="24"/>
              </w:rPr>
              <w:t>Week 3</w:t>
            </w:r>
          </w:p>
          <w:p w14:paraId="14D16B2C"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41092537"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 xml:space="preserve">Review of Social Determinants of Health  </w:t>
            </w:r>
          </w:p>
        </w:tc>
      </w:tr>
      <w:tr w:rsidR="00832967" w:rsidRPr="00CB3A3A" w14:paraId="544A6089"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7F290D2C" w14:textId="77777777" w:rsidR="00832967" w:rsidRPr="00812439" w:rsidRDefault="00832967" w:rsidP="00832967">
            <w:pPr>
              <w:jc w:val="center"/>
              <w:rPr>
                <w:bCs w:val="0"/>
                <w:color w:val="auto"/>
                <w:sz w:val="24"/>
                <w:szCs w:val="24"/>
              </w:rPr>
            </w:pPr>
            <w:r w:rsidRPr="00812439">
              <w:rPr>
                <w:bCs w:val="0"/>
                <w:color w:val="auto"/>
                <w:sz w:val="24"/>
                <w:szCs w:val="24"/>
              </w:rPr>
              <w:t xml:space="preserve">Week 4 </w:t>
            </w:r>
          </w:p>
          <w:p w14:paraId="64EB51B6" w14:textId="77777777" w:rsidR="00832967" w:rsidRPr="00812439" w:rsidRDefault="00832967" w:rsidP="00832967">
            <w:pPr>
              <w:jc w:val="center"/>
              <w:rPr>
                <w:bCs w:val="0"/>
                <w:color w:val="auto"/>
                <w:sz w:val="24"/>
                <w:szCs w:val="24"/>
              </w:rPr>
            </w:pPr>
          </w:p>
        </w:tc>
        <w:tc>
          <w:tcPr>
            <w:tcW w:w="7525" w:type="dxa"/>
          </w:tcPr>
          <w:p w14:paraId="32AA8F5B"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heme="minorHAnsi"/>
                <w:color w:val="auto"/>
                <w:sz w:val="24"/>
                <w:szCs w:val="24"/>
              </w:rPr>
            </w:pPr>
            <w:r w:rsidRPr="00CB3A3A">
              <w:rPr>
                <w:color w:val="auto"/>
                <w:sz w:val="24"/>
                <w:szCs w:val="24"/>
              </w:rPr>
              <w:t>Myths, Misinformation and Mistrust</w:t>
            </w:r>
          </w:p>
        </w:tc>
      </w:tr>
      <w:tr w:rsidR="00832967" w:rsidRPr="00CB3A3A" w14:paraId="0AE2E11E" w14:textId="77777777" w:rsidTr="0083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446656BD" w14:textId="77777777" w:rsidR="00832967" w:rsidRPr="00812439" w:rsidRDefault="00832967" w:rsidP="00832967">
            <w:pPr>
              <w:jc w:val="center"/>
              <w:rPr>
                <w:bCs w:val="0"/>
                <w:color w:val="auto"/>
                <w:sz w:val="24"/>
                <w:szCs w:val="24"/>
              </w:rPr>
            </w:pPr>
            <w:r w:rsidRPr="00812439">
              <w:rPr>
                <w:bCs w:val="0"/>
                <w:color w:val="auto"/>
                <w:sz w:val="24"/>
                <w:szCs w:val="24"/>
              </w:rPr>
              <w:t>Week 5</w:t>
            </w:r>
          </w:p>
          <w:p w14:paraId="251A6AE0"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0182E188"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Racial Segregation and the Legacy of Redlining</w:t>
            </w:r>
          </w:p>
          <w:p w14:paraId="1512BCD5" w14:textId="77777777" w:rsidR="00832967" w:rsidRPr="00CB3A3A" w:rsidRDefault="00832967" w:rsidP="00832967">
            <w:pPr>
              <w:pStyle w:val="ListParagraph"/>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832967" w:rsidRPr="00CB3A3A" w14:paraId="7D8A5194"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3CE3018B" w14:textId="77777777" w:rsidR="00832967" w:rsidRPr="00812439" w:rsidRDefault="00832967" w:rsidP="00832967">
            <w:pPr>
              <w:jc w:val="center"/>
              <w:rPr>
                <w:bCs w:val="0"/>
                <w:color w:val="auto"/>
                <w:sz w:val="24"/>
                <w:szCs w:val="24"/>
              </w:rPr>
            </w:pPr>
            <w:r w:rsidRPr="00812439">
              <w:rPr>
                <w:bCs w:val="0"/>
                <w:color w:val="auto"/>
                <w:sz w:val="24"/>
                <w:szCs w:val="24"/>
              </w:rPr>
              <w:t>Week 6</w:t>
            </w:r>
          </w:p>
          <w:p w14:paraId="6BBF182F" w14:textId="77777777" w:rsidR="00832967" w:rsidRPr="00812439" w:rsidRDefault="00832967" w:rsidP="00832967">
            <w:pPr>
              <w:jc w:val="center"/>
              <w:rPr>
                <w:bCs w:val="0"/>
                <w:color w:val="auto"/>
                <w:sz w:val="24"/>
                <w:szCs w:val="24"/>
              </w:rPr>
            </w:pPr>
          </w:p>
        </w:tc>
        <w:tc>
          <w:tcPr>
            <w:tcW w:w="7525" w:type="dxa"/>
          </w:tcPr>
          <w:p w14:paraId="1D0FADC6"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Occupation, Education, Housing, Wealth Gap and Income Disparities</w:t>
            </w:r>
          </w:p>
        </w:tc>
      </w:tr>
      <w:tr w:rsidR="00832967" w:rsidRPr="00CB3A3A" w14:paraId="4B85B35E" w14:textId="77777777" w:rsidTr="0083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3E689400" w14:textId="77777777" w:rsidR="00832967" w:rsidRPr="00812439" w:rsidRDefault="00832967" w:rsidP="00832967">
            <w:pPr>
              <w:jc w:val="center"/>
              <w:rPr>
                <w:bCs w:val="0"/>
                <w:color w:val="auto"/>
                <w:sz w:val="24"/>
                <w:szCs w:val="24"/>
              </w:rPr>
            </w:pPr>
            <w:r w:rsidRPr="00812439">
              <w:rPr>
                <w:bCs w:val="0"/>
                <w:color w:val="auto"/>
                <w:sz w:val="24"/>
                <w:szCs w:val="24"/>
              </w:rPr>
              <w:t>Week 7</w:t>
            </w:r>
          </w:p>
          <w:p w14:paraId="4D0299F1"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77D89980"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 xml:space="preserve">The </w:t>
            </w:r>
            <w:r>
              <w:rPr>
                <w:color w:val="auto"/>
                <w:sz w:val="24"/>
                <w:szCs w:val="24"/>
              </w:rPr>
              <w:t>I</w:t>
            </w:r>
            <w:r w:rsidRPr="00CB3A3A">
              <w:rPr>
                <w:color w:val="auto"/>
                <w:sz w:val="24"/>
                <w:szCs w:val="24"/>
              </w:rPr>
              <w:t>mpact of Systemic Racism in Healthcare: Healthcare Access and Utilization</w:t>
            </w:r>
          </w:p>
        </w:tc>
      </w:tr>
      <w:tr w:rsidR="00832967" w:rsidRPr="00CB3A3A" w14:paraId="291B6A6B"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633EFE54" w14:textId="77777777" w:rsidR="00832967" w:rsidRPr="00812439" w:rsidRDefault="00832967" w:rsidP="00832967">
            <w:pPr>
              <w:jc w:val="center"/>
              <w:rPr>
                <w:bCs w:val="0"/>
                <w:color w:val="auto"/>
                <w:sz w:val="24"/>
                <w:szCs w:val="24"/>
              </w:rPr>
            </w:pPr>
            <w:r w:rsidRPr="00812439">
              <w:rPr>
                <w:bCs w:val="0"/>
                <w:color w:val="auto"/>
                <w:sz w:val="24"/>
                <w:szCs w:val="24"/>
              </w:rPr>
              <w:t>Week 8</w:t>
            </w:r>
          </w:p>
          <w:p w14:paraId="02AFCCEA" w14:textId="77777777" w:rsidR="00832967" w:rsidRPr="00812439" w:rsidRDefault="00832967" w:rsidP="00832967">
            <w:pPr>
              <w:jc w:val="center"/>
              <w:rPr>
                <w:bCs w:val="0"/>
                <w:color w:val="auto"/>
                <w:sz w:val="24"/>
                <w:szCs w:val="24"/>
              </w:rPr>
            </w:pPr>
          </w:p>
        </w:tc>
        <w:tc>
          <w:tcPr>
            <w:tcW w:w="7525" w:type="dxa"/>
          </w:tcPr>
          <w:p w14:paraId="2D54CBCE"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Impact of Comorbidities. Why those comorbidities exist in the first plac</w:t>
            </w:r>
            <w:r>
              <w:rPr>
                <w:color w:val="auto"/>
                <w:sz w:val="24"/>
                <w:szCs w:val="24"/>
              </w:rPr>
              <w:t>e.</w:t>
            </w:r>
          </w:p>
        </w:tc>
      </w:tr>
      <w:tr w:rsidR="00832967" w:rsidRPr="00CB3A3A" w14:paraId="2056E3E0" w14:textId="77777777" w:rsidTr="0083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1BCE476A" w14:textId="77777777" w:rsidR="00832967" w:rsidRPr="00812439" w:rsidRDefault="00832967" w:rsidP="00832967">
            <w:pPr>
              <w:jc w:val="center"/>
              <w:rPr>
                <w:bCs w:val="0"/>
                <w:color w:val="auto"/>
                <w:sz w:val="24"/>
                <w:szCs w:val="24"/>
              </w:rPr>
            </w:pPr>
            <w:r w:rsidRPr="00812439">
              <w:rPr>
                <w:bCs w:val="0"/>
                <w:color w:val="auto"/>
                <w:sz w:val="24"/>
                <w:szCs w:val="24"/>
              </w:rPr>
              <w:t>Week 9</w:t>
            </w:r>
          </w:p>
          <w:p w14:paraId="53967E5B"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4F7A4286"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What COVID-19 Job Losses Reveal About Racism in America</w:t>
            </w:r>
          </w:p>
        </w:tc>
      </w:tr>
      <w:tr w:rsidR="00832967" w:rsidRPr="00CB3A3A" w14:paraId="6734B002"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4070D002" w14:textId="77777777" w:rsidR="00832967" w:rsidRPr="00812439" w:rsidRDefault="00832967" w:rsidP="00832967">
            <w:pPr>
              <w:jc w:val="center"/>
              <w:rPr>
                <w:bCs w:val="0"/>
                <w:color w:val="auto"/>
                <w:sz w:val="24"/>
                <w:szCs w:val="24"/>
              </w:rPr>
            </w:pPr>
            <w:r w:rsidRPr="00812439">
              <w:rPr>
                <w:bCs w:val="0"/>
                <w:color w:val="auto"/>
                <w:sz w:val="24"/>
                <w:szCs w:val="24"/>
              </w:rPr>
              <w:t>Week 10</w:t>
            </w:r>
          </w:p>
          <w:p w14:paraId="42E8A914" w14:textId="77777777" w:rsidR="00832967" w:rsidRPr="00812439" w:rsidRDefault="00832967" w:rsidP="00832967">
            <w:pPr>
              <w:jc w:val="center"/>
              <w:rPr>
                <w:bCs w:val="0"/>
                <w:color w:val="auto"/>
                <w:sz w:val="24"/>
                <w:szCs w:val="24"/>
              </w:rPr>
            </w:pPr>
          </w:p>
        </w:tc>
        <w:tc>
          <w:tcPr>
            <w:tcW w:w="7525" w:type="dxa"/>
          </w:tcPr>
          <w:p w14:paraId="72AB41A0" w14:textId="77777777" w:rsidR="00832967" w:rsidRPr="00CB3A3A" w:rsidRDefault="00832967" w:rsidP="00832967">
            <w:pPr>
              <w:pStyle w:val="ListParagraph"/>
              <w:numPr>
                <w:ilvl w:val="0"/>
                <w:numId w:val="2"/>
              </w:numPr>
              <w:shd w:val="clear" w:color="auto" w:fill="FFFFFF"/>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Workers</w:t>
            </w:r>
            <w:r>
              <w:rPr>
                <w:color w:val="auto"/>
                <w:sz w:val="24"/>
                <w:szCs w:val="24"/>
              </w:rPr>
              <w:t xml:space="preserve"> of Color</w:t>
            </w:r>
            <w:r w:rsidRPr="00CB3A3A">
              <w:rPr>
                <w:color w:val="auto"/>
                <w:sz w:val="24"/>
                <w:szCs w:val="24"/>
              </w:rPr>
              <w:t xml:space="preserve"> on the Frontlines</w:t>
            </w:r>
          </w:p>
          <w:p w14:paraId="2F017D67" w14:textId="77777777" w:rsidR="00832967" w:rsidRPr="00CB3A3A" w:rsidRDefault="00832967" w:rsidP="00832967">
            <w:pPr>
              <w:pStyle w:val="ListParagraph"/>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832967" w:rsidRPr="00CB3A3A" w14:paraId="687C0761" w14:textId="77777777" w:rsidTr="0083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6B512387" w14:textId="77777777" w:rsidR="00832967" w:rsidRPr="00812439" w:rsidRDefault="00832967" w:rsidP="00832967">
            <w:pPr>
              <w:jc w:val="center"/>
              <w:rPr>
                <w:bCs w:val="0"/>
                <w:color w:val="auto"/>
                <w:sz w:val="24"/>
                <w:szCs w:val="24"/>
              </w:rPr>
            </w:pPr>
            <w:r w:rsidRPr="00812439">
              <w:rPr>
                <w:bCs w:val="0"/>
                <w:color w:val="auto"/>
                <w:sz w:val="24"/>
                <w:szCs w:val="24"/>
              </w:rPr>
              <w:t>Week 11</w:t>
            </w:r>
          </w:p>
          <w:p w14:paraId="22CCD3FA" w14:textId="77777777" w:rsidR="00832967" w:rsidRPr="00812439" w:rsidRDefault="00832967" w:rsidP="00832967">
            <w:pPr>
              <w:jc w:val="center"/>
              <w:rPr>
                <w:bCs w:val="0"/>
                <w:color w:val="auto"/>
                <w:sz w:val="24"/>
                <w:szCs w:val="24"/>
              </w:rPr>
            </w:pPr>
          </w:p>
        </w:tc>
        <w:tc>
          <w:tcPr>
            <w:tcW w:w="7525" w:type="dxa"/>
            <w:tcBorders>
              <w:left w:val="none" w:sz="0" w:space="0" w:color="auto"/>
              <w:right w:val="none" w:sz="0" w:space="0" w:color="auto"/>
            </w:tcBorders>
          </w:tcPr>
          <w:p w14:paraId="26ECE0E2" w14:textId="77777777" w:rsidR="00832967" w:rsidRPr="00CB3A3A" w:rsidRDefault="00832967" w:rsidP="0083296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 xml:space="preserve">Mental Health Impact on </w:t>
            </w:r>
            <w:r>
              <w:rPr>
                <w:color w:val="auto"/>
                <w:sz w:val="24"/>
                <w:szCs w:val="24"/>
              </w:rPr>
              <w:t>P</w:t>
            </w:r>
            <w:r w:rsidRPr="00CB3A3A">
              <w:rPr>
                <w:color w:val="auto"/>
                <w:sz w:val="24"/>
                <w:szCs w:val="24"/>
              </w:rPr>
              <w:t xml:space="preserve">eople of </w:t>
            </w:r>
            <w:r>
              <w:rPr>
                <w:color w:val="auto"/>
                <w:sz w:val="24"/>
                <w:szCs w:val="24"/>
              </w:rPr>
              <w:t>C</w:t>
            </w:r>
            <w:r w:rsidRPr="00CB3A3A">
              <w:rPr>
                <w:color w:val="auto"/>
                <w:sz w:val="24"/>
                <w:szCs w:val="24"/>
              </w:rPr>
              <w:t>olor</w:t>
            </w:r>
          </w:p>
        </w:tc>
      </w:tr>
      <w:tr w:rsidR="00832967" w:rsidRPr="00CB3A3A" w14:paraId="310BE4E8"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793406CD" w14:textId="77777777" w:rsidR="00832967" w:rsidRPr="00812439" w:rsidRDefault="00832967" w:rsidP="00832967">
            <w:pPr>
              <w:jc w:val="center"/>
              <w:rPr>
                <w:bCs w:val="0"/>
                <w:color w:val="auto"/>
                <w:sz w:val="24"/>
                <w:szCs w:val="24"/>
              </w:rPr>
            </w:pPr>
            <w:r w:rsidRPr="00812439">
              <w:rPr>
                <w:bCs w:val="0"/>
                <w:color w:val="auto"/>
                <w:sz w:val="24"/>
                <w:szCs w:val="24"/>
              </w:rPr>
              <w:t>Week 12</w:t>
            </w:r>
          </w:p>
          <w:p w14:paraId="5BF5DC42" w14:textId="77777777" w:rsidR="00832967" w:rsidRPr="00812439" w:rsidRDefault="00832967" w:rsidP="00832967">
            <w:pPr>
              <w:jc w:val="center"/>
              <w:rPr>
                <w:bCs w:val="0"/>
                <w:color w:val="auto"/>
                <w:sz w:val="24"/>
                <w:szCs w:val="24"/>
              </w:rPr>
            </w:pPr>
          </w:p>
        </w:tc>
        <w:tc>
          <w:tcPr>
            <w:tcW w:w="7525" w:type="dxa"/>
          </w:tcPr>
          <w:p w14:paraId="020FBE80"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Culturally Sensitive Communication</w:t>
            </w:r>
          </w:p>
        </w:tc>
      </w:tr>
      <w:tr w:rsidR="00832967" w:rsidRPr="00CB3A3A" w14:paraId="1050C642" w14:textId="77777777" w:rsidTr="0083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Borders>
              <w:left w:val="none" w:sz="0" w:space="0" w:color="auto"/>
              <w:right w:val="none" w:sz="0" w:space="0" w:color="auto"/>
            </w:tcBorders>
          </w:tcPr>
          <w:p w14:paraId="305958CC" w14:textId="77777777" w:rsidR="00832967" w:rsidRPr="00812439" w:rsidRDefault="00832967" w:rsidP="00832967">
            <w:pPr>
              <w:jc w:val="center"/>
              <w:rPr>
                <w:bCs w:val="0"/>
                <w:color w:val="auto"/>
                <w:sz w:val="24"/>
                <w:szCs w:val="24"/>
              </w:rPr>
            </w:pPr>
            <w:r w:rsidRPr="00812439">
              <w:rPr>
                <w:bCs w:val="0"/>
                <w:color w:val="auto"/>
                <w:sz w:val="24"/>
                <w:szCs w:val="24"/>
              </w:rPr>
              <w:t>Week 13</w:t>
            </w:r>
          </w:p>
        </w:tc>
        <w:tc>
          <w:tcPr>
            <w:tcW w:w="7525" w:type="dxa"/>
            <w:tcBorders>
              <w:left w:val="none" w:sz="0" w:space="0" w:color="auto"/>
              <w:right w:val="none" w:sz="0" w:space="0" w:color="auto"/>
            </w:tcBorders>
          </w:tcPr>
          <w:p w14:paraId="6EB063A5" w14:textId="77777777" w:rsidR="00832967" w:rsidRDefault="00832967" w:rsidP="00832967">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CB3A3A">
              <w:rPr>
                <w:color w:val="auto"/>
                <w:sz w:val="24"/>
                <w:szCs w:val="24"/>
              </w:rPr>
              <w:t>Lesson</w:t>
            </w:r>
            <w:r>
              <w:rPr>
                <w:color w:val="auto"/>
                <w:sz w:val="24"/>
                <w:szCs w:val="24"/>
              </w:rPr>
              <w:t>s</w:t>
            </w:r>
            <w:r w:rsidRPr="00CB3A3A">
              <w:rPr>
                <w:color w:val="auto"/>
                <w:sz w:val="24"/>
                <w:szCs w:val="24"/>
              </w:rPr>
              <w:t xml:space="preserve"> Learned about COVID-19 </w:t>
            </w:r>
          </w:p>
          <w:p w14:paraId="7FEBB377" w14:textId="77777777" w:rsidR="00832967" w:rsidRPr="00CB3A3A" w:rsidRDefault="00832967" w:rsidP="00832967">
            <w:pPr>
              <w:pStyle w:val="ListParagraph"/>
              <w:jc w:val="both"/>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832967" w:rsidRPr="00CB3A3A" w14:paraId="01BC3961" w14:textId="77777777" w:rsidTr="00832967">
        <w:tc>
          <w:tcPr>
            <w:cnfStyle w:val="001000000000" w:firstRow="0" w:lastRow="0" w:firstColumn="1" w:lastColumn="0" w:oddVBand="0" w:evenVBand="0" w:oddHBand="0" w:evenHBand="0" w:firstRowFirstColumn="0" w:firstRowLastColumn="0" w:lastRowFirstColumn="0" w:lastRowLastColumn="0"/>
            <w:tcW w:w="1825" w:type="dxa"/>
          </w:tcPr>
          <w:p w14:paraId="05D2865B" w14:textId="77777777" w:rsidR="00832967" w:rsidRPr="00812439" w:rsidRDefault="00832967" w:rsidP="00832967">
            <w:pPr>
              <w:jc w:val="center"/>
              <w:rPr>
                <w:bCs w:val="0"/>
                <w:color w:val="auto"/>
                <w:sz w:val="24"/>
                <w:szCs w:val="24"/>
              </w:rPr>
            </w:pPr>
            <w:r w:rsidRPr="00812439">
              <w:rPr>
                <w:bCs w:val="0"/>
                <w:color w:val="auto"/>
                <w:sz w:val="24"/>
                <w:szCs w:val="24"/>
              </w:rPr>
              <w:t>Week 14</w:t>
            </w:r>
          </w:p>
        </w:tc>
        <w:tc>
          <w:tcPr>
            <w:tcW w:w="7525" w:type="dxa"/>
          </w:tcPr>
          <w:p w14:paraId="78790342" w14:textId="77777777" w:rsidR="00832967" w:rsidRPr="00CB3A3A" w:rsidRDefault="00832967" w:rsidP="0083296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CB3A3A">
              <w:rPr>
                <w:color w:val="auto"/>
                <w:sz w:val="24"/>
                <w:szCs w:val="24"/>
              </w:rPr>
              <w:t>Final Presentation</w:t>
            </w:r>
            <w:r>
              <w:rPr>
                <w:color w:val="auto"/>
                <w:sz w:val="24"/>
                <w:szCs w:val="24"/>
              </w:rPr>
              <w:t xml:space="preserve"> - Proposal</w:t>
            </w:r>
          </w:p>
          <w:p w14:paraId="557EEFA4" w14:textId="77777777" w:rsidR="00832967" w:rsidRPr="00CB3A3A" w:rsidRDefault="00832967" w:rsidP="00832967">
            <w:pPr>
              <w:pStyle w:val="ListParagraph"/>
              <w:cnfStyle w:val="000000000000" w:firstRow="0" w:lastRow="0" w:firstColumn="0" w:lastColumn="0" w:oddVBand="0" w:evenVBand="0" w:oddHBand="0" w:evenHBand="0" w:firstRowFirstColumn="0" w:firstRowLastColumn="0" w:lastRowFirstColumn="0" w:lastRowLastColumn="0"/>
              <w:rPr>
                <w:color w:val="auto"/>
                <w:sz w:val="24"/>
                <w:szCs w:val="24"/>
              </w:rPr>
            </w:pPr>
          </w:p>
        </w:tc>
      </w:tr>
    </w:tbl>
    <w:p w14:paraId="1937FEC9" w14:textId="77777777" w:rsidR="00391C1B" w:rsidRDefault="00391C1B" w:rsidP="002A5D0C">
      <w:pPr>
        <w:spacing w:after="0" w:line="480" w:lineRule="auto"/>
        <w:ind w:left="720"/>
        <w:rPr>
          <w:rFonts w:ascii="Times New Roman" w:hAnsi="Times New Roman" w:cs="Times New Roman"/>
          <w:sz w:val="24"/>
          <w:szCs w:val="24"/>
        </w:rPr>
      </w:pPr>
    </w:p>
    <w:p w14:paraId="5A7D0FD9" w14:textId="0AD5D13A" w:rsidR="00391C1B" w:rsidRDefault="00391C1B" w:rsidP="002A5D0C">
      <w:pPr>
        <w:spacing w:after="0" w:line="480" w:lineRule="auto"/>
        <w:ind w:left="720"/>
        <w:rPr>
          <w:rFonts w:ascii="Times New Roman" w:hAnsi="Times New Roman" w:cs="Times New Roman"/>
          <w:sz w:val="24"/>
          <w:szCs w:val="24"/>
        </w:rPr>
      </w:pPr>
    </w:p>
    <w:p w14:paraId="47C845EF" w14:textId="692FAD93" w:rsidR="00391C1B" w:rsidRDefault="00391C1B" w:rsidP="00BD6269">
      <w:pPr>
        <w:spacing w:after="0" w:line="480" w:lineRule="auto"/>
        <w:rPr>
          <w:rFonts w:ascii="Times New Roman" w:hAnsi="Times New Roman" w:cs="Times New Roman"/>
          <w:sz w:val="24"/>
          <w:szCs w:val="24"/>
        </w:rPr>
      </w:pPr>
    </w:p>
    <w:sectPr w:rsidR="00391C1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B12AF" w14:textId="77777777" w:rsidR="00121838" w:rsidRDefault="00121838" w:rsidP="002A5D0C">
      <w:pPr>
        <w:spacing w:after="0" w:line="240" w:lineRule="auto"/>
      </w:pPr>
      <w:r>
        <w:separator/>
      </w:r>
    </w:p>
  </w:endnote>
  <w:endnote w:type="continuationSeparator" w:id="0">
    <w:p w14:paraId="27B13C9C" w14:textId="77777777" w:rsidR="00121838" w:rsidRDefault="00121838" w:rsidP="002A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993315"/>
      <w:docPartObj>
        <w:docPartGallery w:val="Page Numbers (Bottom of Page)"/>
        <w:docPartUnique/>
      </w:docPartObj>
    </w:sdtPr>
    <w:sdtEndPr>
      <w:rPr>
        <w:noProof/>
      </w:rPr>
    </w:sdtEndPr>
    <w:sdtContent>
      <w:p w14:paraId="22FF26A3" w14:textId="2FEEB525" w:rsidR="002A5D0C" w:rsidRDefault="002A5D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54AA31" w14:textId="77777777" w:rsidR="002A5D0C" w:rsidRDefault="002A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C353C" w14:textId="77777777" w:rsidR="00121838" w:rsidRDefault="00121838" w:rsidP="002A5D0C">
      <w:pPr>
        <w:spacing w:after="0" w:line="240" w:lineRule="auto"/>
      </w:pPr>
      <w:r>
        <w:separator/>
      </w:r>
    </w:p>
  </w:footnote>
  <w:footnote w:type="continuationSeparator" w:id="0">
    <w:p w14:paraId="76C8BEF5" w14:textId="77777777" w:rsidR="00121838" w:rsidRDefault="00121838" w:rsidP="002A5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3D09"/>
    <w:multiLevelType w:val="hybridMultilevel"/>
    <w:tmpl w:val="4036A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4CE"/>
    <w:multiLevelType w:val="hybridMultilevel"/>
    <w:tmpl w:val="90E06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7C"/>
    <w:rsid w:val="00121838"/>
    <w:rsid w:val="001530AB"/>
    <w:rsid w:val="002A5D0C"/>
    <w:rsid w:val="00391C1B"/>
    <w:rsid w:val="003A6426"/>
    <w:rsid w:val="00403F27"/>
    <w:rsid w:val="00461357"/>
    <w:rsid w:val="004B76C8"/>
    <w:rsid w:val="004E1E8F"/>
    <w:rsid w:val="004F5A0C"/>
    <w:rsid w:val="00515D85"/>
    <w:rsid w:val="00556E80"/>
    <w:rsid w:val="005A1F89"/>
    <w:rsid w:val="006529F5"/>
    <w:rsid w:val="007A1179"/>
    <w:rsid w:val="007A6F98"/>
    <w:rsid w:val="007E0DB3"/>
    <w:rsid w:val="007E477A"/>
    <w:rsid w:val="00812439"/>
    <w:rsid w:val="00823F21"/>
    <w:rsid w:val="00832967"/>
    <w:rsid w:val="008429E1"/>
    <w:rsid w:val="008638FC"/>
    <w:rsid w:val="00991FE0"/>
    <w:rsid w:val="009A287C"/>
    <w:rsid w:val="00A50BA4"/>
    <w:rsid w:val="00BB3B3C"/>
    <w:rsid w:val="00BD6269"/>
    <w:rsid w:val="00C029B9"/>
    <w:rsid w:val="00C616DA"/>
    <w:rsid w:val="00C70F4E"/>
    <w:rsid w:val="00CB3A3A"/>
    <w:rsid w:val="00CC51ED"/>
    <w:rsid w:val="00CF31C0"/>
    <w:rsid w:val="00E133F6"/>
    <w:rsid w:val="00E51B0D"/>
    <w:rsid w:val="00EB775B"/>
    <w:rsid w:val="00EC7B84"/>
    <w:rsid w:val="00ED5F86"/>
    <w:rsid w:val="00FC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2906"/>
  <w15:chartTrackingRefBased/>
  <w15:docId w15:val="{0C3B35E8-1D8F-44D0-B9E0-226073E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6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5B"/>
    <w:pPr>
      <w:ind w:left="720"/>
      <w:contextualSpacing/>
    </w:pPr>
  </w:style>
  <w:style w:type="paragraph" w:styleId="BalloonText">
    <w:name w:val="Balloon Text"/>
    <w:basedOn w:val="Normal"/>
    <w:link w:val="BalloonTextChar"/>
    <w:uiPriority w:val="99"/>
    <w:semiHidden/>
    <w:unhideWhenUsed/>
    <w:rsid w:val="00823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21"/>
    <w:rPr>
      <w:rFonts w:ascii="Segoe UI" w:hAnsi="Segoe UI" w:cs="Segoe UI"/>
      <w:sz w:val="18"/>
      <w:szCs w:val="18"/>
    </w:rPr>
  </w:style>
  <w:style w:type="character" w:styleId="CommentReference">
    <w:name w:val="annotation reference"/>
    <w:basedOn w:val="DefaultParagraphFont"/>
    <w:uiPriority w:val="99"/>
    <w:semiHidden/>
    <w:unhideWhenUsed/>
    <w:rsid w:val="00823F21"/>
    <w:rPr>
      <w:sz w:val="16"/>
      <w:szCs w:val="16"/>
    </w:rPr>
  </w:style>
  <w:style w:type="paragraph" w:styleId="CommentText">
    <w:name w:val="annotation text"/>
    <w:basedOn w:val="Normal"/>
    <w:link w:val="CommentTextChar"/>
    <w:uiPriority w:val="99"/>
    <w:semiHidden/>
    <w:unhideWhenUsed/>
    <w:rsid w:val="00823F21"/>
    <w:pPr>
      <w:spacing w:line="240" w:lineRule="auto"/>
    </w:pPr>
    <w:rPr>
      <w:sz w:val="20"/>
      <w:szCs w:val="20"/>
    </w:rPr>
  </w:style>
  <w:style w:type="character" w:customStyle="1" w:styleId="CommentTextChar">
    <w:name w:val="Comment Text Char"/>
    <w:basedOn w:val="DefaultParagraphFont"/>
    <w:link w:val="CommentText"/>
    <w:uiPriority w:val="99"/>
    <w:semiHidden/>
    <w:rsid w:val="00823F21"/>
    <w:rPr>
      <w:sz w:val="20"/>
      <w:szCs w:val="20"/>
    </w:rPr>
  </w:style>
  <w:style w:type="paragraph" w:styleId="CommentSubject">
    <w:name w:val="annotation subject"/>
    <w:basedOn w:val="CommentText"/>
    <w:next w:val="CommentText"/>
    <w:link w:val="CommentSubjectChar"/>
    <w:uiPriority w:val="99"/>
    <w:semiHidden/>
    <w:unhideWhenUsed/>
    <w:rsid w:val="00823F21"/>
    <w:rPr>
      <w:b/>
      <w:bCs/>
    </w:rPr>
  </w:style>
  <w:style w:type="character" w:customStyle="1" w:styleId="CommentSubjectChar">
    <w:name w:val="Comment Subject Char"/>
    <w:basedOn w:val="CommentTextChar"/>
    <w:link w:val="CommentSubject"/>
    <w:uiPriority w:val="99"/>
    <w:semiHidden/>
    <w:rsid w:val="00823F21"/>
    <w:rPr>
      <w:b/>
      <w:bCs/>
      <w:sz w:val="20"/>
      <w:szCs w:val="20"/>
    </w:rPr>
  </w:style>
  <w:style w:type="paragraph" w:styleId="Header">
    <w:name w:val="header"/>
    <w:basedOn w:val="Normal"/>
    <w:link w:val="HeaderChar"/>
    <w:uiPriority w:val="99"/>
    <w:unhideWhenUsed/>
    <w:rsid w:val="002A5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C"/>
  </w:style>
  <w:style w:type="paragraph" w:styleId="Footer">
    <w:name w:val="footer"/>
    <w:basedOn w:val="Normal"/>
    <w:link w:val="FooterChar"/>
    <w:uiPriority w:val="99"/>
    <w:unhideWhenUsed/>
    <w:rsid w:val="002A5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C"/>
  </w:style>
  <w:style w:type="table" w:styleId="LightShading-Accent3">
    <w:name w:val="Light Shading Accent 3"/>
    <w:basedOn w:val="TableNormal"/>
    <w:uiPriority w:val="60"/>
    <w:rsid w:val="00391C1B"/>
    <w:pPr>
      <w:spacing w:after="0" w:line="240" w:lineRule="auto"/>
    </w:pPr>
    <w:rPr>
      <w:rFonts w:ascii="Times New Roman" w:eastAsia="Times New Roman" w:hAnsi="Times New Roman" w:cs="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eading2Char">
    <w:name w:val="Heading 2 Char"/>
    <w:basedOn w:val="DefaultParagraphFont"/>
    <w:link w:val="Heading2"/>
    <w:uiPriority w:val="9"/>
    <w:rsid w:val="00BD626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2967"/>
    <w:rPr>
      <w:color w:val="0563C1" w:themeColor="hyperlink"/>
      <w:u w:val="single"/>
    </w:rPr>
  </w:style>
  <w:style w:type="character" w:styleId="UnresolvedMention">
    <w:name w:val="Unresolved Mention"/>
    <w:basedOn w:val="DefaultParagraphFont"/>
    <w:uiPriority w:val="99"/>
    <w:semiHidden/>
    <w:unhideWhenUsed/>
    <w:rsid w:val="0083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79635">
      <w:bodyDiv w:val="1"/>
      <w:marLeft w:val="0"/>
      <w:marRight w:val="0"/>
      <w:marTop w:val="0"/>
      <w:marBottom w:val="0"/>
      <w:divBdr>
        <w:top w:val="none" w:sz="0" w:space="0" w:color="auto"/>
        <w:left w:val="none" w:sz="0" w:space="0" w:color="auto"/>
        <w:bottom w:val="none" w:sz="0" w:space="0" w:color="auto"/>
        <w:right w:val="none" w:sz="0" w:space="0" w:color="auto"/>
      </w:divBdr>
      <w:divsChild>
        <w:div w:id="1991907880">
          <w:marLeft w:val="0"/>
          <w:marRight w:val="0"/>
          <w:marTop w:val="0"/>
          <w:marBottom w:val="0"/>
          <w:divBdr>
            <w:top w:val="none" w:sz="0" w:space="0" w:color="auto"/>
            <w:left w:val="none" w:sz="0" w:space="0" w:color="auto"/>
            <w:bottom w:val="none" w:sz="0" w:space="0" w:color="auto"/>
            <w:right w:val="none" w:sz="0" w:space="0" w:color="auto"/>
          </w:divBdr>
        </w:div>
      </w:divsChild>
    </w:div>
    <w:div w:id="1982879857">
      <w:bodyDiv w:val="1"/>
      <w:marLeft w:val="0"/>
      <w:marRight w:val="0"/>
      <w:marTop w:val="0"/>
      <w:marBottom w:val="0"/>
      <w:divBdr>
        <w:top w:val="none" w:sz="0" w:space="0" w:color="auto"/>
        <w:left w:val="none" w:sz="0" w:space="0" w:color="auto"/>
        <w:bottom w:val="none" w:sz="0" w:space="0" w:color="auto"/>
        <w:right w:val="none" w:sz="0" w:space="0" w:color="auto"/>
      </w:divBdr>
      <w:divsChild>
        <w:div w:id="283393113">
          <w:marLeft w:val="0"/>
          <w:marRight w:val="0"/>
          <w:marTop w:val="0"/>
          <w:marBottom w:val="0"/>
          <w:divBdr>
            <w:top w:val="none" w:sz="0" w:space="0" w:color="auto"/>
            <w:left w:val="none" w:sz="0" w:space="0" w:color="auto"/>
            <w:bottom w:val="none" w:sz="0" w:space="0" w:color="auto"/>
            <w:right w:val="none" w:sz="0" w:space="0" w:color="auto"/>
          </w:divBdr>
          <w:divsChild>
            <w:div w:id="1124349200">
              <w:marLeft w:val="0"/>
              <w:marRight w:val="0"/>
              <w:marTop w:val="0"/>
              <w:marBottom w:val="0"/>
              <w:divBdr>
                <w:top w:val="none" w:sz="0" w:space="0" w:color="auto"/>
                <w:left w:val="none" w:sz="0" w:space="0" w:color="auto"/>
                <w:bottom w:val="none" w:sz="0" w:space="0" w:color="auto"/>
                <w:right w:val="none" w:sz="0" w:space="0" w:color="auto"/>
              </w:divBdr>
            </w:div>
            <w:div w:id="8571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o.pitt.edu/policies/policy/02/02-03-02.html" TargetMode="External"/><Relationship Id="rId13" Type="http://schemas.openxmlformats.org/officeDocument/2006/relationships/hyperlink" Target="mailto:faculty@pitt.edu" TargetMode="External"/><Relationship Id="rId18" Type="http://schemas.openxmlformats.org/officeDocument/2006/relationships/hyperlink" Target="http://diversity.pitt.edu/affirmative-action/policies-procedures-and-practic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of3@pitt.edu" TargetMode="External"/><Relationship Id="rId12" Type="http://schemas.openxmlformats.org/officeDocument/2006/relationships/hyperlink" Target="mailto:drsrecep@pitt.edu" TargetMode="External"/><Relationship Id="rId17" Type="http://schemas.openxmlformats.org/officeDocument/2006/relationships/hyperlink" Target="http://oscp.library.pitt.edu/intellectual-property/copyright/pitt-policies-on-copyright/" TargetMode="External"/><Relationship Id="rId2" Type="http://schemas.openxmlformats.org/officeDocument/2006/relationships/styles" Target="styles.xml"/><Relationship Id="rId16" Type="http://schemas.openxmlformats.org/officeDocument/2006/relationships/hyperlink" Target="https://www.copyright.gov/" TargetMode="External"/><Relationship Id="rId20" Type="http://schemas.openxmlformats.org/officeDocument/2006/relationships/hyperlink" Target="https://www.diversity.pitt.edu/make-report/report-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affairs.pitt.edu/drs/" TargetMode="External"/><Relationship Id="rId5" Type="http://schemas.openxmlformats.org/officeDocument/2006/relationships/footnotes" Target="footnotes.xml"/><Relationship Id="rId15" Type="http://schemas.openxmlformats.org/officeDocument/2006/relationships/hyperlink" Target="http://government.westlaw.com/linkedslice/default.asp?SP=pac-1000" TargetMode="External"/><Relationship Id="rId23" Type="http://schemas.openxmlformats.org/officeDocument/2006/relationships/theme" Target="theme/theme1.xml"/><Relationship Id="rId10" Type="http://schemas.openxmlformats.org/officeDocument/2006/relationships/hyperlink" Target="http://pitt.libguides.com/academicintegrity/plagiarism" TargetMode="External"/><Relationship Id="rId19" Type="http://schemas.openxmlformats.org/officeDocument/2006/relationships/hyperlink" Target="mailto:titleixcoordinator@pitt.edu" TargetMode="External"/><Relationship Id="rId4" Type="http://schemas.openxmlformats.org/officeDocument/2006/relationships/webSettings" Target="webSettings.xml"/><Relationship Id="rId9" Type="http://schemas.openxmlformats.org/officeDocument/2006/relationships/hyperlink" Target="http://pitt.libguides.com/academicintegrity/" TargetMode="External"/><Relationship Id="rId14" Type="http://schemas.openxmlformats.org/officeDocument/2006/relationships/hyperlink" Target="http://www.dmlp.org/legal-guide/recording-phone-calls-and-convers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aofgrp@fobgroup.com</dc:creator>
  <cp:keywords/>
  <dc:description/>
  <cp:lastModifiedBy>Syring, Josephine I</cp:lastModifiedBy>
  <cp:revision>2</cp:revision>
  <dcterms:created xsi:type="dcterms:W3CDTF">2020-11-04T15:58:00Z</dcterms:created>
  <dcterms:modified xsi:type="dcterms:W3CDTF">2020-11-04T15:58:00Z</dcterms:modified>
</cp:coreProperties>
</file>